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67F5D" w:rsidRDefault="00E67F5D">
      <w:pPr>
        <w:widowControl w:val="0"/>
        <w:pBdr>
          <w:top w:val="nil"/>
          <w:left w:val="nil"/>
          <w:bottom w:val="nil"/>
          <w:right w:val="nil"/>
          <w:between w:val="nil"/>
        </w:pBdr>
        <w:spacing w:after="0"/>
      </w:pPr>
    </w:p>
    <w:p w14:paraId="00000002" w14:textId="77777777" w:rsidR="00E67F5D" w:rsidRDefault="00277899">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sectPr w:rsidR="00E67F5D">
          <w:headerReference w:type="even" r:id="rId9"/>
          <w:headerReference w:type="default" r:id="rId10"/>
          <w:footerReference w:type="even" r:id="rId11"/>
          <w:footerReference w:type="default" r:id="rId12"/>
          <w:headerReference w:type="first" r:id="rId13"/>
          <w:footerReference w:type="first" r:id="rId14"/>
          <w:pgSz w:w="11906" w:h="16838"/>
          <w:pgMar w:top="1134" w:right="1417" w:bottom="1134" w:left="1417" w:header="709" w:footer="709" w:gutter="0"/>
          <w:pgNumType w:start="0"/>
          <w:cols w:space="708"/>
        </w:sectPr>
      </w:pPr>
      <w:bookmarkStart w:id="0" w:name="bookmark=id.3ssgyimhtk0s" w:colFirst="0" w:colLast="0"/>
      <w:bookmarkEnd w:id="0"/>
      <w:r>
        <w:rPr>
          <w:rFonts w:ascii="Times New Roman" w:eastAsia="Times New Roman" w:hAnsi="Times New Roman" w:cs="Times New Roman"/>
          <w:color w:val="000000"/>
          <w:sz w:val="24"/>
          <w:szCs w:val="24"/>
        </w:rPr>
        <w:pict w14:anchorId="526AED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7E9A26CC-8B29-482E-9CDA-53FB89B40E12" style="width:455.25pt;height:383.25pt">
            <v:imagedata r:id="rId15" o:title=""/>
          </v:shape>
        </w:pict>
      </w:r>
    </w:p>
    <w:p w14:paraId="00000003" w14:textId="28A2AB61"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ANNEX</w:t>
      </w:r>
      <w:sdt>
        <w:sdtPr>
          <w:tag w:val="goog_rdk_0"/>
          <w:id w:val="244974867"/>
        </w:sdtPr>
        <w:sdtContent>
          <w:r>
            <w:rPr>
              <w:rFonts w:ascii="Times New Roman" w:eastAsia="Times New Roman" w:hAnsi="Times New Roman" w:cs="Times New Roman"/>
              <w:b/>
              <w:sz w:val="24"/>
              <w:szCs w:val="24"/>
              <w:u w:val="single"/>
            </w:rPr>
            <w:t xml:space="preserve"> 3</w:t>
          </w:r>
          <w:sdt>
            <w:sdtPr>
              <w:tag w:val="goog_rdk_1"/>
              <w:id w:val="-793031323"/>
              <w:showingPlcHdr/>
            </w:sdtPr>
            <w:sdtContent>
              <w:r w:rsidR="00320CF2">
                <w:t xml:space="preserve">     </w:t>
              </w:r>
            </w:sdtContent>
          </w:sdt>
        </w:sdtContent>
      </w:sdt>
      <w:r>
        <w:rPr>
          <w:rFonts w:ascii="Times New Roman" w:eastAsia="Times New Roman" w:hAnsi="Times New Roman" w:cs="Times New Roman"/>
          <w:b/>
          <w:sz w:val="24"/>
          <w:szCs w:val="24"/>
          <w:u w:val="single"/>
        </w:rPr>
        <w:t xml:space="preserve"> </w:t>
      </w:r>
    </w:p>
    <w:p w14:paraId="00000004" w14:textId="77777777" w:rsidR="00E67F5D" w:rsidRDefault="00E67F5D">
      <w:pPr>
        <w:spacing w:before="120" w:after="120" w:line="240" w:lineRule="auto"/>
        <w:jc w:val="center"/>
        <w:rPr>
          <w:rFonts w:ascii="Times New Roman" w:eastAsia="Times New Roman" w:hAnsi="Times New Roman" w:cs="Times New Roman"/>
          <w:sz w:val="24"/>
          <w:szCs w:val="24"/>
        </w:rPr>
      </w:pPr>
    </w:p>
    <w:p w14:paraId="00000005" w14:textId="77777777" w:rsidR="00E67F5D" w:rsidRDefault="00000000">
      <w:pPr>
        <w:spacing w:before="120" w:after="12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STANDARD CONTRACTUAL CLAUSES</w:t>
      </w:r>
    </w:p>
    <w:p w14:paraId="00000006" w14:textId="77777777" w:rsidR="00E67F5D" w:rsidRDefault="00E67F5D">
      <w:pPr>
        <w:spacing w:before="120" w:after="120" w:line="240" w:lineRule="auto"/>
        <w:jc w:val="center"/>
        <w:rPr>
          <w:rFonts w:ascii="Times New Roman" w:eastAsia="Times New Roman" w:hAnsi="Times New Roman" w:cs="Times New Roman"/>
          <w:b/>
          <w:sz w:val="24"/>
          <w:szCs w:val="24"/>
        </w:rPr>
      </w:pPr>
    </w:p>
    <w:p w14:paraId="00000007"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SECTION I</w:t>
      </w:r>
    </w:p>
    <w:p w14:paraId="00000008"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w:t>
      </w:r>
    </w:p>
    <w:p w14:paraId="00000009" w14:textId="77777777" w:rsidR="00E67F5D"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Purpose and scope </w:t>
      </w:r>
    </w:p>
    <w:p w14:paraId="0000000A" w14:textId="77777777" w:rsidR="00E67F5D" w:rsidRDefault="00000000">
      <w:pPr>
        <w:numPr>
          <w:ilvl w:val="1"/>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purpose of these standard contractual clauses is to ensure compliance with the requirements of Regulation (EU) 2016/679 of the European Parliament and of the Council of 27 April 2016 on the protection of natural persons with regard to the processing of personal data and on the free movement of such data (General Data Protection Regulation)</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for the transfer of personal data to a third country.</w:t>
      </w:r>
    </w:p>
    <w:p w14:paraId="0000000B" w14:textId="77777777" w:rsidR="00E67F5D" w:rsidRDefault="00000000">
      <w:pPr>
        <w:numPr>
          <w:ilvl w:val="1"/>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w:t>
      </w:r>
    </w:p>
    <w:p w14:paraId="0000000C" w14:textId="77777777" w:rsidR="00E67F5D" w:rsidRDefault="00000000">
      <w:pPr>
        <w:numPr>
          <w:ilvl w:val="3"/>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natural or legal person(s), public authority/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agency/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or other body/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(hereinafter “entity/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transferring the personal data, as listed in Annex I.A. (hereinafter each “data exporter”), and</w:t>
      </w:r>
    </w:p>
    <w:p w14:paraId="0000000D" w14:textId="77777777" w:rsidR="00E67F5D" w:rsidRDefault="00000000">
      <w:pPr>
        <w:numPr>
          <w:ilvl w:val="3"/>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entity/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in a third country receiving the personal data from the data exporter, directly or indirectly via another entity also Party to these Clauses, as listed in Annex I.A. (hereinafter each “data importer”)</w:t>
      </w:r>
    </w:p>
    <w:p w14:paraId="0000000E"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have agreed to these standard contractual clauses (hereinafter: “Clauses”). </w:t>
      </w:r>
    </w:p>
    <w:p w14:paraId="0000000F" w14:textId="77777777" w:rsidR="00E67F5D" w:rsidRDefault="00000000">
      <w:pPr>
        <w:numPr>
          <w:ilvl w:val="1"/>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These Clauses apply with respect to the transfer of personal data as specified in Annex I.B. </w:t>
      </w:r>
    </w:p>
    <w:p w14:paraId="00000010" w14:textId="77777777" w:rsidR="00E67F5D" w:rsidRDefault="00000000">
      <w:pPr>
        <w:numPr>
          <w:ilvl w:val="1"/>
          <w:numId w:val="1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Appendix to these Clauses containing the Annexes referred to therein forms an integral part of these Clauses.</w:t>
      </w:r>
    </w:p>
    <w:p w14:paraId="00000011"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2</w:t>
      </w:r>
    </w:p>
    <w:p w14:paraId="00000012" w14:textId="77777777" w:rsidR="00E67F5D"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Effect and invariability of the Clauses</w:t>
      </w:r>
    </w:p>
    <w:p w14:paraId="00000013" w14:textId="77777777" w:rsidR="00E67F5D" w:rsidRDefault="00000000">
      <w:pPr>
        <w:numPr>
          <w:ilvl w:val="5"/>
          <w:numId w:val="18"/>
        </w:numPr>
        <w:spacing w:before="120" w:after="120" w:line="240" w:lineRule="auto"/>
        <w:ind w:left="851" w:hanging="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These Clauses set out appropriate safeguards, including enforceable data subject rights and effective legal remedies, pursuant to Article 46(1) and Article 46 (2)(c) of Regulation (EU) 2016/679 and, with respect to data transfers from controllers to processors and/or processors to processors, standard contractual clauses pursuant to </w:t>
      </w:r>
      <w:r>
        <w:rPr>
          <w:rFonts w:ascii="Times New Roman" w:eastAsia="Times New Roman" w:hAnsi="Times New Roman" w:cs="Times New Roman"/>
          <w:sz w:val="24"/>
          <w:szCs w:val="24"/>
        </w:rPr>
        <w:lastRenderedPageBreak/>
        <w:t xml:space="preserve">Article 28(7) of Regulation (EU) 2016/679, provided they are not modified, except to select the appropriate Module(s) or to add or update information in the Appendix. This does not prevent the Parties from including the standard contractual clauses laid down in these Clauses in a wider contract and/or to add other clauses or additional safeguards, provided that they do not contradict, directly or indirectly, these Clauses or prejudice the fundamental rights or freedoms of data subjects. </w:t>
      </w:r>
    </w:p>
    <w:p w14:paraId="00000014" w14:textId="77777777" w:rsidR="00E67F5D" w:rsidRDefault="00000000">
      <w:pPr>
        <w:numPr>
          <w:ilvl w:val="5"/>
          <w:numId w:val="18"/>
        </w:numPr>
        <w:spacing w:before="120" w:after="120" w:line="240" w:lineRule="auto"/>
        <w:ind w:left="851" w:hanging="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These Clauses are without prejudice to obligations to which the data exporter is subject by virtue of Regulation (EU) 2016/679.</w:t>
      </w:r>
    </w:p>
    <w:p w14:paraId="00000015"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3</w:t>
      </w:r>
    </w:p>
    <w:p w14:paraId="00000016" w14:textId="77777777" w:rsidR="00E67F5D"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Third-party beneficiaries</w:t>
      </w:r>
    </w:p>
    <w:p w14:paraId="00000017" w14:textId="77777777" w:rsidR="00E67F5D"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Data subjects may invoke and enforce these Clauses, as third-party beneficiaries, against the data exporter and/or data importer, with the following exceptions:</w:t>
      </w:r>
    </w:p>
    <w:p w14:paraId="00000018"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 Clause 2, Clause 3, Clause 6, Clause 7;</w:t>
      </w:r>
    </w:p>
    <w:p w14:paraId="00000019"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8 - Module One: Clause 8.5 (e) and Clause 8.9(b); Module Two: Clause 8.1(b), 8.9(a), (c), (d) and (e); Module Three: Clause 8.1(a), (c) and (d) and Clause 8.9(a), (c), (d), (e), (f) and (g); Module Four: Clause 8.1 (b) and Clause 8.3(b);</w:t>
      </w:r>
    </w:p>
    <w:p w14:paraId="0000001A"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9 - Module Two: Clause 9(a), (c), (d) and (e); Module Three: Clause 9(a), (c), (d) and (e);</w:t>
      </w:r>
    </w:p>
    <w:p w14:paraId="0000001B"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12 - Module One: Clause 12(a) and (d); Modules Two and Three: Clause 12(a), (d) and (f);</w:t>
      </w:r>
    </w:p>
    <w:p w14:paraId="0000001C"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13;</w:t>
      </w:r>
    </w:p>
    <w:p w14:paraId="0000001D"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15.1(c), (d) and (e);</w:t>
      </w:r>
    </w:p>
    <w:p w14:paraId="0000001E"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16(e);</w:t>
      </w:r>
    </w:p>
    <w:p w14:paraId="0000001F" w14:textId="77777777" w:rsidR="00E67F5D"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Clause 18 - Modules One, Two and Three: Clause 18(a) and (b); Module Four: Clause 18.</w:t>
      </w:r>
    </w:p>
    <w:p w14:paraId="00000020" w14:textId="77777777" w:rsidR="00E67F5D"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Paragraph (a) is without prejudice to rights of data subjects under Regulation (EU) 2016/679.</w:t>
      </w:r>
    </w:p>
    <w:p w14:paraId="00000021"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4</w:t>
      </w:r>
    </w:p>
    <w:p w14:paraId="00000022"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Interpretation</w:t>
      </w:r>
    </w:p>
    <w:p w14:paraId="00000023" w14:textId="77777777" w:rsidR="00E67F5D" w:rsidRDefault="00000000">
      <w:pPr>
        <w:numPr>
          <w:ilvl w:val="1"/>
          <w:numId w:val="2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these Clauses use terms that are defined in Regulation (EU) 2016/679, those terms shall have the same meaning as in that Regulation.</w:t>
      </w:r>
    </w:p>
    <w:p w14:paraId="00000024" w14:textId="77777777" w:rsidR="00E67F5D" w:rsidRDefault="00000000">
      <w:pPr>
        <w:numPr>
          <w:ilvl w:val="1"/>
          <w:numId w:val="2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These Clauses shall be read and interpreted in the light of the provisions of Regulation (EU) 2016/679.</w:t>
      </w:r>
    </w:p>
    <w:p w14:paraId="00000025" w14:textId="77777777" w:rsidR="00E67F5D" w:rsidRDefault="00000000">
      <w:pPr>
        <w:numPr>
          <w:ilvl w:val="1"/>
          <w:numId w:val="2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These Clauses shall not be interpreted in a way that conflicts with rights and obligations provided for in Regulation (EU) 2016/679. </w:t>
      </w:r>
    </w:p>
    <w:p w14:paraId="00000026" w14:textId="77777777" w:rsidR="00E67F5D" w:rsidRDefault="00000000">
      <w:pPr>
        <w:rPr>
          <w:rFonts w:ascii="Times New Roman" w:eastAsia="Times New Roman" w:hAnsi="Times New Roman" w:cs="Times New Roman"/>
          <w:i/>
          <w:sz w:val="24"/>
          <w:szCs w:val="24"/>
        </w:rPr>
      </w:pPr>
      <w:r>
        <w:br w:type="page"/>
      </w:r>
    </w:p>
    <w:p w14:paraId="00000027"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Clause 5</w:t>
      </w:r>
    </w:p>
    <w:p w14:paraId="00000028"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Hierarchy</w:t>
      </w:r>
    </w:p>
    <w:p w14:paraId="00000029"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the event of a contradiction between these Clauses and the provisions of related agreements between the Parties, existing at the time these Clauses are agreed or entered into thereafter, these Clauses shall prevail.</w:t>
      </w:r>
    </w:p>
    <w:p w14:paraId="0000002A"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6</w:t>
      </w:r>
    </w:p>
    <w:p w14:paraId="0000002B"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Description of the transfer(s)</w:t>
      </w:r>
    </w:p>
    <w:p w14:paraId="0000002C"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details of the transfer(s), and in particular the categories of personal data that are transferred and the purpose(s) for which they are transferred, are specified in Annex I.B.</w:t>
      </w:r>
    </w:p>
    <w:p w14:paraId="0000002D"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7 - Optional</w:t>
      </w:r>
    </w:p>
    <w:p w14:paraId="0000002E"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Docking clause</w:t>
      </w:r>
    </w:p>
    <w:p w14:paraId="0000002F" w14:textId="77777777" w:rsidR="00E67F5D"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entity that is not a Party to these Clauses may, with the agreement of the Parties, accede to these Clauses at any time, either as a data exporter or as a data importer, by completing the Appendix and signing Annex I.A.  </w:t>
      </w:r>
    </w:p>
    <w:p w14:paraId="00000030" w14:textId="77777777" w:rsidR="00E67F5D"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Once it has completed the Appendix and signed Annex I.A, the acceding entity shall become a Party to these Clauses and have the rights and obligations of a data exporter or data importer in accordance with its designation in Annex I.A.</w:t>
      </w:r>
    </w:p>
    <w:p w14:paraId="00000031" w14:textId="77777777" w:rsidR="00E67F5D"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acceding entity shall have no rights or obligations arising under these Clauses from the period prior to becoming a Party.</w:t>
      </w:r>
    </w:p>
    <w:p w14:paraId="00000032"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033"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SECTION II – OBLIGATIONS OF THE PARTIES</w:t>
      </w:r>
    </w:p>
    <w:p w14:paraId="00000034"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8</w:t>
      </w:r>
    </w:p>
    <w:p w14:paraId="00000035"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Data protection safeguards</w:t>
      </w:r>
    </w:p>
    <w:p w14:paraId="00000036"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exporter warrants that it has used reasonable efforts to determine that the data importer is able, through the implementation of appropriate technical and organisational measures, to satisfy its obligations under these Clauses. </w:t>
      </w:r>
    </w:p>
    <w:p w14:paraId="00000037" w14:textId="77777777" w:rsidR="00E67F5D" w:rsidRDefault="00000000">
      <w:pPr>
        <w:spacing w:before="24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8.1</w:t>
      </w:r>
      <w:r>
        <w:rPr>
          <w:rFonts w:ascii="Times New Roman" w:eastAsia="Times New Roman" w:hAnsi="Times New Roman" w:cs="Times New Roman"/>
          <w:b/>
          <w:sz w:val="24"/>
          <w:szCs w:val="24"/>
        </w:rPr>
        <w:tab/>
        <w:t>Purpose limitation</w:t>
      </w:r>
    </w:p>
    <w:p w14:paraId="00000038"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process the personal data only for the specific purpose(s) of the transfer, as set out in Annex I.B. It may only process the personal data for another purpose: </w:t>
      </w:r>
    </w:p>
    <w:p w14:paraId="00000039" w14:textId="77777777" w:rsidR="00E67F5D" w:rsidRDefault="00000000">
      <w:pPr>
        <w:numPr>
          <w:ilvl w:val="3"/>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where it has obtained the data subject’s prior consent; </w:t>
      </w:r>
    </w:p>
    <w:p w14:paraId="0000003A" w14:textId="77777777" w:rsidR="00E67F5D" w:rsidRDefault="00000000">
      <w:pPr>
        <w:numPr>
          <w:ilvl w:val="3"/>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where necessary for the establishment, exercise or defence of legal claims in the context of specific administrative, regulatory or judicial proceedings; or </w:t>
      </w:r>
    </w:p>
    <w:p w14:paraId="0000003B" w14:textId="77777777" w:rsidR="00E67F5D" w:rsidRDefault="00000000">
      <w:pPr>
        <w:numPr>
          <w:ilvl w:val="3"/>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necessary in order to protect the vital interests of the data subject or of another natural person.</w:t>
      </w:r>
    </w:p>
    <w:p w14:paraId="0000003C"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8.2</w:t>
      </w:r>
      <w:r>
        <w:rPr>
          <w:rFonts w:ascii="Times New Roman" w:eastAsia="Times New Roman" w:hAnsi="Times New Roman" w:cs="Times New Roman"/>
          <w:b/>
          <w:sz w:val="24"/>
          <w:szCs w:val="24"/>
        </w:rPr>
        <w:tab/>
        <w:t xml:space="preserve">Transparency </w:t>
      </w:r>
    </w:p>
    <w:p w14:paraId="0000003D" w14:textId="77777777" w:rsidR="00E67F5D"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 order to enable data subjects to effectively exercise their rights pursuant to Clause 10, the data importer shall inform them, either directly or through the data exporter:</w:t>
      </w:r>
    </w:p>
    <w:p w14:paraId="0000003E" w14:textId="77777777" w:rsidR="00E67F5D"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 its identity and contact details;</w:t>
      </w:r>
    </w:p>
    <w:p w14:paraId="0000003F" w14:textId="77777777" w:rsidR="00E67F5D"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 the categories of personal data processed;</w:t>
      </w:r>
    </w:p>
    <w:p w14:paraId="00000040" w14:textId="77777777" w:rsidR="00E67F5D"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 the right to obtain a copy of these Clauses;</w:t>
      </w:r>
    </w:p>
    <w:p w14:paraId="00000041" w14:textId="77777777" w:rsidR="00E67F5D"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it intends to onward transfer the personal data to any third party/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of the recipient or categories of recipients (as appropriate with a view to providing meaningful information), the purpose of such onward transfer and the ground therefore pursuant to Clause 8.7.</w:t>
      </w:r>
    </w:p>
    <w:p w14:paraId="00000042" w14:textId="77777777" w:rsidR="00E67F5D"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Paragraph (a) shall not apply where the data subject already has the information, including when such information has already been provided by the data exporter, or providing the information proves impossible or would involve a disproportionate effort for the data importer. In the latter case, the data importer shall, to the extent possible, make the information publicly available.</w:t>
      </w:r>
    </w:p>
    <w:p w14:paraId="00000043" w14:textId="77777777" w:rsidR="00E67F5D"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 request, the Parties shall make a copy of these Clauses, including the Appendix as completed by them, available to the data subject free of charge. To the extent necessary to protect business secrets or other confidential information, including personal data, the Parties may redact part of the text of the Appendix prior to sharing a copy, but shall provide a meaningful summary where the data subject would otherwise not be able to understand its content or exercise his/her rights. On request, the Parties shall provide the data subject with the reasons for the redactions, to the extent possible without revealing the redacted information.</w:t>
      </w:r>
    </w:p>
    <w:p w14:paraId="00000044" w14:textId="77777777" w:rsidR="00E67F5D"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Paragraphs (a) to (c) are without prejudice to the obligations of the data exporter under Articles 13 and 14 of Regulation (EU) 2016/679.  </w:t>
      </w:r>
    </w:p>
    <w:p w14:paraId="00000045"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8.3</w:t>
      </w:r>
      <w:r>
        <w:rPr>
          <w:rFonts w:ascii="Times New Roman" w:eastAsia="Times New Roman" w:hAnsi="Times New Roman" w:cs="Times New Roman"/>
          <w:b/>
          <w:sz w:val="24"/>
          <w:szCs w:val="24"/>
        </w:rPr>
        <w:tab/>
        <w:t>Accuracy and data minimisation</w:t>
      </w:r>
    </w:p>
    <w:p w14:paraId="00000046" w14:textId="77777777" w:rsidR="00E67F5D"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Each Party shall ensure that the personal data is accurate and, where necessary, kept up to date. The data importer shall take every reasonable step to ensure that personal data that is inaccurate, having regard to the purpose(s) of processing, is erased or rectified without delay.</w:t>
      </w:r>
    </w:p>
    <w:p w14:paraId="00000047" w14:textId="77777777" w:rsidR="00E67F5D"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If one of the Parties becomes aware that the personal data it has transferred or received is inaccurate, or has become outdated, it shall inform the other Party without undue delay.</w:t>
      </w:r>
    </w:p>
    <w:p w14:paraId="00000048" w14:textId="77777777" w:rsidR="00E67F5D"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ensure that the personal data is adequate, relevant and limited to what is necessary in relation to the purpose(s) of processing. </w:t>
      </w:r>
    </w:p>
    <w:p w14:paraId="00000049"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8.4</w:t>
      </w:r>
      <w:r>
        <w:rPr>
          <w:rFonts w:ascii="Times New Roman" w:eastAsia="Times New Roman" w:hAnsi="Times New Roman" w:cs="Times New Roman"/>
          <w:b/>
          <w:sz w:val="24"/>
          <w:szCs w:val="24"/>
        </w:rPr>
        <w:tab/>
        <w:t>Storage limitation</w:t>
      </w:r>
    </w:p>
    <w:p w14:paraId="0000004A"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retain the personal data for no longer than necessary for the purpose(s) for which it is processed. It shall put in place appropriate technical or organisational measures </w:t>
      </w:r>
      <w:r>
        <w:rPr>
          <w:rFonts w:ascii="Times New Roman" w:eastAsia="Times New Roman" w:hAnsi="Times New Roman" w:cs="Times New Roman"/>
          <w:sz w:val="24"/>
          <w:szCs w:val="24"/>
        </w:rPr>
        <w:lastRenderedPageBreak/>
        <w:t>to ensure compliance with this obligation, including erasure or anonymisation</w:t>
      </w:r>
      <w:r>
        <w:rPr>
          <w:rFonts w:ascii="Times New Roman" w:eastAsia="Times New Roman" w:hAnsi="Times New Roman" w:cs="Times New Roman"/>
          <w:sz w:val="24"/>
          <w:szCs w:val="24"/>
          <w:vertAlign w:val="superscript"/>
        </w:rPr>
        <w:footnoteReference w:id="2"/>
      </w:r>
      <w:r>
        <w:rPr>
          <w:rFonts w:ascii="Times New Roman" w:eastAsia="Times New Roman" w:hAnsi="Times New Roman" w:cs="Times New Roman"/>
          <w:sz w:val="24"/>
          <w:szCs w:val="24"/>
        </w:rPr>
        <w:t xml:space="preserve"> of the data and all back-ups at the end of the retention period.  </w:t>
      </w:r>
    </w:p>
    <w:p w14:paraId="0000004B"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8.5</w:t>
      </w:r>
      <w:r>
        <w:rPr>
          <w:rFonts w:ascii="Times New Roman" w:eastAsia="Times New Roman" w:hAnsi="Times New Roman" w:cs="Times New Roman"/>
          <w:b/>
          <w:sz w:val="24"/>
          <w:szCs w:val="24"/>
        </w:rPr>
        <w:tab/>
        <w:t>Security of processing</w:t>
      </w:r>
    </w:p>
    <w:p w14:paraId="0000004C"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and, during transmission, also the data exporter shall implement appropriate technical and organisational measures to ensure the security of the personal data, including  protection against a breach of security leading to accidental or unlawful destruction, loss, alteration, unauthorised disclosure or access (hereinafter “personal data breach”). In assessing the appropriate level of security, they shall take due account of the state of the art, the costs of implementation, the nature, scope, context and purpose(s) of processing and the risks involved in the processing for the data subject. The Parties shall in particular consider having recourse to encryption or pseudonymisation, including during transmission, where the purpose of processing can be fulfilled in that manner. </w:t>
      </w:r>
    </w:p>
    <w:p w14:paraId="0000004D"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have agreed on the technical and organisational measures set out in Annex II. The data importer shall carry out regular checks to ensure that these measures continue to provide an appropriate level of security.</w:t>
      </w:r>
    </w:p>
    <w:p w14:paraId="0000004E"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ensure that persons authorised to process the personal data have committed themselves to confidentiality or are under an appropriate statutory obligation of confidentiality.</w:t>
      </w:r>
    </w:p>
    <w:p w14:paraId="0000004F"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the event of a personal data breach concerning personal data processed by the data importer under these Clauses, the data importer shall take appropriate measures to address the personal data breach, including measures to mitigate its possible adverse effects.</w:t>
      </w:r>
    </w:p>
    <w:p w14:paraId="00000050"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case of a personal data breach that is likely to result in a risk to the rights and freedoms of natural persons, the data importer shall without undue delay notify both the data exporter and the competent supervisory authority pursuant to Clause 13. Such notification shall contain i) a description of the nature of the breach (including, where possible, categories and approximate number of data subjects and personal data records concerned), ii) its likely consequences, iii) the measures taken or proposed to address the breach, and iv) the details of a contact point from whom more information can be obtained. To the extent it is not possible for the data importer to provide all the information at the same time, it may do so in phases without undue further delay. </w:t>
      </w:r>
    </w:p>
    <w:p w14:paraId="00000051"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case of a personal data breach that is likely to result in a high risk to the rights and freedoms of natural persons, the data importer shall also notify without undue delay the data subjects concerned of the personal data breach and its nature, if necessary in cooperation with the data exporter, together with the information referred to in paragraph (e), points ii) to iv), unless the data importer has implemented measures to significantly reduce the risk to the rights or freedoms of natural persons, or notification would involve disproportionate efforts. In the latter case, the data importer shall instead issue a public communication or take a similar measure to inform the public of the personal data breach. </w:t>
      </w:r>
    </w:p>
    <w:p w14:paraId="00000052" w14:textId="77777777" w:rsidR="00E67F5D"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The data importer shall document all relevant facts relating to the personal data breach, including its effects and any remedial action taken, and keep a record thereof.</w:t>
      </w:r>
    </w:p>
    <w:p w14:paraId="00000053"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8.6</w:t>
      </w:r>
      <w:r>
        <w:rPr>
          <w:rFonts w:ascii="Times New Roman" w:eastAsia="Times New Roman" w:hAnsi="Times New Roman" w:cs="Times New Roman"/>
          <w:b/>
          <w:sz w:val="24"/>
          <w:szCs w:val="24"/>
        </w:rPr>
        <w:tab/>
        <w:t>Sensitive data</w:t>
      </w:r>
    </w:p>
    <w:p w14:paraId="00000054"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the transfer involves personal data revealing racial or ethnic origin, political opinions, religious or philosophical beliefs, or trade union membership, genetic data, or biometric data for the purpose of uniquely identifying a natural person, data concerning health or a person’s sex life or sexual orientation, or data relating to criminal convictions or offences (hereinafter “sensitive data”), the data importer shall apply specific restrictions and/or additional safeguards adapted to the specific nature of the data and the risks involved. This may include restricting the personnel permitted to access the personal data, additional security measures (such as pseudonymisation) and/or additional restrictions with respect to further disclosure.</w:t>
      </w:r>
    </w:p>
    <w:p w14:paraId="00000055"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8.7</w:t>
      </w:r>
      <w:r>
        <w:rPr>
          <w:rFonts w:ascii="Times New Roman" w:eastAsia="Times New Roman" w:hAnsi="Times New Roman" w:cs="Times New Roman"/>
          <w:b/>
          <w:sz w:val="24"/>
          <w:szCs w:val="24"/>
        </w:rPr>
        <w:tab/>
        <w:t>Onward transfers</w:t>
      </w:r>
    </w:p>
    <w:p w14:paraId="00000056"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not disclose the personal data to a third party located outside the European Union</w:t>
      </w:r>
      <w:r>
        <w:rPr>
          <w:rFonts w:ascii="Times New Roman" w:eastAsia="Times New Roman" w:hAnsi="Times New Roman" w:cs="Times New Roman"/>
          <w:sz w:val="24"/>
          <w:szCs w:val="24"/>
          <w:vertAlign w:val="superscript"/>
        </w:rPr>
        <w:footnoteReference w:id="3"/>
      </w:r>
      <w:r>
        <w:rPr>
          <w:rFonts w:ascii="Times New Roman" w:eastAsia="Times New Roman" w:hAnsi="Times New Roman" w:cs="Times New Roman"/>
          <w:sz w:val="24"/>
          <w:szCs w:val="24"/>
        </w:rPr>
        <w:t xml:space="preserve"> (in the same country as the data importer or in another third country, hereinafter “onward transfer”) unless the third party is or agrees to be bound by these Clauses, under the appropriate Module. Otherwise, an onward transfer by the data importer may only take place if: </w:t>
      </w:r>
    </w:p>
    <w:p w14:paraId="00000057"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it is to a country benefitting from an adequacy decision pursuant to Article 45 of Regulation (EU) 2016/679 that covers the onward transfer; </w:t>
      </w:r>
    </w:p>
    <w:p w14:paraId="00000058"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third party otherwise ensures appropriate safeguards pursuant to Articles 46 or 47 of Regulation (EU) 2016/679 with respect to the processing in question;</w:t>
      </w:r>
    </w:p>
    <w:p w14:paraId="00000059"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third party enters into a binding instrument with the data importer ensuring the same level of data protection as under these Clauses, and the data importer provides a copy of these safeguards to the data exporter;</w:t>
      </w:r>
    </w:p>
    <w:p w14:paraId="0000005A"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it is necessary for the establishment, exercise or defence of legal claims in the context of specific administrative, regulatory or judicial proceedings;</w:t>
      </w:r>
    </w:p>
    <w:p w14:paraId="0000005B"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it is necessary in order to protect the vital interests of the data subject or of another natural person; or</w:t>
      </w:r>
    </w:p>
    <w:p w14:paraId="0000005C" w14:textId="77777777" w:rsidR="00E67F5D"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none of the other conditions apply, the data importer has obtained the explicit consent of the data subject for an onward transfer in a specific situation, after having informed him/her of its purpose(s), the identity of the recipient and the possible risks of such transfer to him/her due to the lack of appropriate data protection safeguards. In this case, the data importer shall inform the data exporter and, at the request of the latter, shall transmit to it a copy of the information provided to the data subject.</w:t>
      </w:r>
    </w:p>
    <w:p w14:paraId="0000005D" w14:textId="77777777" w:rsidR="00E67F5D" w:rsidRDefault="00000000">
      <w:pPr>
        <w:spacing w:after="32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Any onward transfer is subject to compliance by the data importer with all the other safeguards under these Clauses, in particular purpose limitation.</w:t>
      </w:r>
    </w:p>
    <w:p w14:paraId="0000005E" w14:textId="77777777" w:rsidR="00E67F5D" w:rsidRDefault="00000000">
      <w:pPr>
        <w:spacing w:before="32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8.8</w:t>
      </w:r>
      <w:r>
        <w:rPr>
          <w:rFonts w:ascii="Times New Roman" w:eastAsia="Times New Roman" w:hAnsi="Times New Roman" w:cs="Times New Roman"/>
          <w:b/>
          <w:sz w:val="24"/>
          <w:szCs w:val="24"/>
        </w:rPr>
        <w:tab/>
        <w:t>Processing under the authority of the data importer</w:t>
      </w:r>
    </w:p>
    <w:p w14:paraId="0000005F" w14:textId="77777777" w:rsidR="00E67F5D" w:rsidRDefault="00000000">
      <w:pPr>
        <w:spacing w:after="32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ensure that any person acting under its authority, including a processor, processes the data only on its instructions. </w:t>
      </w:r>
    </w:p>
    <w:p w14:paraId="00000060" w14:textId="77777777" w:rsidR="00E67F5D" w:rsidRDefault="00000000">
      <w:pPr>
        <w:spacing w:before="32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8.9</w:t>
      </w:r>
      <w:r>
        <w:rPr>
          <w:rFonts w:ascii="Times New Roman" w:eastAsia="Times New Roman" w:hAnsi="Times New Roman" w:cs="Times New Roman"/>
          <w:b/>
          <w:sz w:val="24"/>
          <w:szCs w:val="24"/>
        </w:rPr>
        <w:tab/>
        <w:t>Documentation and compliance</w:t>
      </w:r>
    </w:p>
    <w:p w14:paraId="00000061" w14:textId="77777777" w:rsidR="00E67F5D"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Each Party shall be able to demonstrate compliance with its obligations under these Clauses. In particular, the data importer shall keep appropriate documentation of the processing activities carried out under its responsibility.</w:t>
      </w:r>
    </w:p>
    <w:p w14:paraId="00000062" w14:textId="77777777" w:rsidR="00E67F5D"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make such documentation available to the competent supervisory authority on request.</w:t>
      </w:r>
    </w:p>
    <w:p w14:paraId="00000063" w14:textId="77777777" w:rsidR="00E67F5D" w:rsidRDefault="00000000">
      <w:pPr>
        <w:tabs>
          <w:tab w:val="left" w:pos="4000"/>
        </w:tabs>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00000064"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9</w:t>
      </w:r>
    </w:p>
    <w:p w14:paraId="00000065"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Use of sub-processors</w:t>
      </w:r>
    </w:p>
    <w:p w14:paraId="00000066" w14:textId="77777777" w:rsidR="00E67F5D" w:rsidRDefault="00000000">
      <w:pPr>
        <w:spacing w:before="120"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N/A</w:t>
      </w:r>
    </w:p>
    <w:p w14:paraId="00000067"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10</w:t>
      </w:r>
    </w:p>
    <w:p w14:paraId="00000068"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Data subject rights</w:t>
      </w:r>
    </w:p>
    <w:p w14:paraId="00000069" w14:textId="77777777" w:rsidR="00E67F5D" w:rsidRDefault="00E67F5D">
      <w:pPr>
        <w:spacing w:before="120" w:after="120" w:line="240" w:lineRule="auto"/>
        <w:rPr>
          <w:rFonts w:ascii="Times New Roman" w:eastAsia="Times New Roman" w:hAnsi="Times New Roman" w:cs="Times New Roman"/>
          <w:b/>
          <w:i/>
          <w:sz w:val="24"/>
          <w:szCs w:val="24"/>
        </w:rPr>
      </w:pPr>
    </w:p>
    <w:p w14:paraId="0000006A" w14:textId="77777777" w:rsidR="00E67F5D" w:rsidRDefault="00000000">
      <w:pPr>
        <w:numPr>
          <w:ilvl w:val="1"/>
          <w:numId w:val="11"/>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where relevant with the assistance of the data exporter, shall deal with any enquiries and requests it receives from a data subject relating to the processing of his/her personal data and the exercise of his/her rights under these Clauses without undue delay and at the latest within one month of the receipt of the enquiry or request.</w:t>
      </w:r>
      <w:r>
        <w:rPr>
          <w:rFonts w:ascii="Times New Roman" w:eastAsia="Times New Roman" w:hAnsi="Times New Roman" w:cs="Times New Roman"/>
          <w:sz w:val="24"/>
          <w:szCs w:val="24"/>
          <w:vertAlign w:val="superscript"/>
        </w:rPr>
        <w:footnoteReference w:id="4"/>
      </w:r>
      <w:r>
        <w:rPr>
          <w:rFonts w:ascii="Times New Roman" w:eastAsia="Times New Roman" w:hAnsi="Times New Roman" w:cs="Times New Roman"/>
          <w:sz w:val="24"/>
          <w:szCs w:val="24"/>
        </w:rPr>
        <w:t xml:space="preserve"> The data importer shall take appropriate measures to facilitate such enquiries, requests and the exercise of data subject rights. Any information provided to the data subject shall be in an intelligible and easily accessible form, using clear and plain language.</w:t>
      </w:r>
    </w:p>
    <w:p w14:paraId="0000006B"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particular, upon request by the data subject the data importer shall, free of charge :</w:t>
      </w:r>
    </w:p>
    <w:p w14:paraId="0000006C"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provide confirmation to the data subject as to whether personal data concerning him/her is being processed and, where this is the case, a copy of the data relating to him/her and the information in Annex I; if personal data has been or will be onward transferred, provide information on recipients or categories of recipients (as appropriate with a view to providing meaningful information) to which the personal data has been or will be onward transferred, the purpose of such onward transfers and their ground pursuant to Clause 8.7; and provide information on </w:t>
      </w:r>
      <w:r>
        <w:rPr>
          <w:rFonts w:ascii="Times New Roman" w:eastAsia="Times New Roman" w:hAnsi="Times New Roman" w:cs="Times New Roman"/>
          <w:sz w:val="24"/>
          <w:szCs w:val="24"/>
        </w:rPr>
        <w:lastRenderedPageBreak/>
        <w:t xml:space="preserve">the right to lodge a complaint with a supervisory authority in accordance with Clause 12(c)(i); </w:t>
      </w:r>
    </w:p>
    <w:p w14:paraId="0000006D"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rectify inaccurate or incomplete data concerning the data subject; </w:t>
      </w:r>
    </w:p>
    <w:p w14:paraId="0000006E"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erase personal data concerning the data subject if such data is being or has been processed in violation of any of these Clauses ensuring third-party beneficiary rights, or if the data subject withdraws the consent on which the processing is based. </w:t>
      </w:r>
    </w:p>
    <w:p w14:paraId="0000006F"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Where the data importer processes the personal data for direct marketing purposes, it shall cease processing for such purposes if the data subject objects to it. </w:t>
      </w:r>
    </w:p>
    <w:p w14:paraId="00000070"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not make a decision based solely on the automated processing of the personal data transferred (hereinafter “automated decision”), which would produce legal effects concerning the data subject or similarly significantly affect him / her, unless with the explicit consent of the data subject or if authorised to do so under the laws of the country of destination, provided that such laws lays down suitable measures to safeguard the data subject’s rights and legitimate interests. In this case, the data importer shall, where necessary in cooperation with the data exporter:</w:t>
      </w:r>
    </w:p>
    <w:p w14:paraId="00000071"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inform the data subject about the envisaged automated decision, the envisaged consequences and the logic involved; and</w:t>
      </w:r>
    </w:p>
    <w:p w14:paraId="00000072" w14:textId="77777777" w:rsidR="00E67F5D" w:rsidRDefault="00000000">
      <w:pPr>
        <w:numPr>
          <w:ilvl w:val="3"/>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implement suitable safeguards, at least by enabling the data subject to contest the decision, express his/her point of view and obtain review by a human being. </w:t>
      </w:r>
    </w:p>
    <w:p w14:paraId="00000073"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requests from a data subject are excessive, in particular because of their repetitive character, the data importer may either charge a reasonable fee taking into account the administrative costs of granting the request or refuse to act on the request.</w:t>
      </w:r>
    </w:p>
    <w:p w14:paraId="00000074"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may refuse a data subject’s request if such refusal is allowed under the laws of the country of destination and is necessary and proportionate in a democratic society to protect one of the objectives listed in Article 23(1) of Regulation (EU) 2016/679.</w:t>
      </w:r>
    </w:p>
    <w:p w14:paraId="00000075" w14:textId="77777777" w:rsidR="00E67F5D"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If the data importer intends to refuse a data subject’s request, it shall inform the data subject of the reasons for the refusal and the possibility of lodging a complaint with the competent supervisory authority and/or seeking judicial redress.</w:t>
      </w:r>
    </w:p>
    <w:p w14:paraId="00000076" w14:textId="77777777" w:rsidR="00E67F5D" w:rsidRDefault="00E67F5D">
      <w:pPr>
        <w:spacing w:before="120" w:after="120" w:line="240" w:lineRule="auto"/>
        <w:jc w:val="both"/>
        <w:rPr>
          <w:rFonts w:ascii="Times New Roman" w:eastAsia="Times New Roman" w:hAnsi="Times New Roman" w:cs="Times New Roman"/>
          <w:b/>
          <w:sz w:val="24"/>
          <w:szCs w:val="24"/>
          <w:highlight w:val="lightGray"/>
        </w:rPr>
      </w:pPr>
    </w:p>
    <w:p w14:paraId="00000077"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11</w:t>
      </w:r>
    </w:p>
    <w:p w14:paraId="00000078"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Redress</w:t>
      </w:r>
    </w:p>
    <w:p w14:paraId="00000079"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inform data subjects in a transparent and easily accessible format, through individual notice or on its website, of a contact point authorised to handle complaints. It shall deal promptly with any complaints it receives from a data subject. </w:t>
      </w:r>
    </w:p>
    <w:p w14:paraId="0000007A"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that data subjects may also lodge a complaint with an independent dispute resolution body</w:t>
      </w:r>
      <w:r>
        <w:rPr>
          <w:rFonts w:ascii="Times New Roman" w:eastAsia="Times New Roman" w:hAnsi="Times New Roman" w:cs="Times New Roman"/>
          <w:sz w:val="24"/>
          <w:szCs w:val="24"/>
          <w:vertAlign w:val="superscript"/>
        </w:rPr>
        <w:footnoteReference w:id="5"/>
      </w:r>
      <w:r>
        <w:rPr>
          <w:rFonts w:ascii="Times New Roman" w:eastAsia="Times New Roman" w:hAnsi="Times New Roman" w:cs="Times New Roman"/>
          <w:sz w:val="24"/>
          <w:szCs w:val="24"/>
        </w:rPr>
        <w:t xml:space="preserve"> at no cost to the data subject. It shall inform the </w:t>
      </w:r>
      <w:r>
        <w:rPr>
          <w:rFonts w:ascii="Times New Roman" w:eastAsia="Times New Roman" w:hAnsi="Times New Roman" w:cs="Times New Roman"/>
          <w:sz w:val="24"/>
          <w:szCs w:val="24"/>
        </w:rPr>
        <w:lastRenderedPageBreak/>
        <w:t>data subjects, in the manner set out in paragraph (a), of such redress mechanism and that they are not required to use it, or follow a particular sequence in seeking redress.</w:t>
      </w:r>
    </w:p>
    <w:p w14:paraId="0000007B" w14:textId="77777777" w:rsidR="00E67F5D" w:rsidRDefault="00000000">
      <w:pPr>
        <w:numPr>
          <w:ilvl w:val="1"/>
          <w:numId w:val="12"/>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case of a dispute between a data subject and one of the Parties as regards compliance with these Clauses, that Party shall use its best efforts to resolve the issue amicably in a timely fashion. The Parties shall keep each other informed about such disputes and, where appropriate, cooperate in resolving them.   </w:t>
      </w:r>
    </w:p>
    <w:p w14:paraId="0000007C"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Where the data subject invokes a third-party beneficiary right pursuant to Clause 3, the data importer shall accept the decision of the data subject to: </w:t>
      </w:r>
    </w:p>
    <w:p w14:paraId="0000007D" w14:textId="77777777" w:rsidR="00E67F5D" w:rsidRDefault="00000000">
      <w:pPr>
        <w:numPr>
          <w:ilvl w:val="3"/>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lodge a complaint with the supervisory authority in the Member State of his/her habitual residence or place of work, or the competent supervisory authority pursuant to Clause 13;</w:t>
      </w:r>
    </w:p>
    <w:p w14:paraId="0000007E" w14:textId="77777777" w:rsidR="00E67F5D" w:rsidRDefault="00000000">
      <w:pPr>
        <w:numPr>
          <w:ilvl w:val="3"/>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refer the dispute to the competent courts within the meaning of Clause 18.</w:t>
      </w:r>
    </w:p>
    <w:p w14:paraId="0000007F"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Parties accept that the data subject may be represented by a not-for-profit body, organisation or association under the conditions set out in Article 80(1) of Regulation (EU) 2016/679. </w:t>
      </w:r>
    </w:p>
    <w:p w14:paraId="00000080"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shall abide by a decision that is binding under the applicable EU or Member State law.</w:t>
      </w:r>
    </w:p>
    <w:p w14:paraId="00000081" w14:textId="77777777" w:rsidR="00E67F5D"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that the choice made by the data subject will not prejudice his/her substantive and procedural rights to seek remedies in accordance with applicable laws.</w:t>
      </w:r>
    </w:p>
    <w:p w14:paraId="00000082"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12</w:t>
      </w:r>
    </w:p>
    <w:p w14:paraId="00000083"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Liability</w:t>
      </w:r>
    </w:p>
    <w:p w14:paraId="00000084" w14:textId="77777777" w:rsidR="00E67F5D" w:rsidRDefault="00000000">
      <w:pPr>
        <w:numPr>
          <w:ilvl w:val="1"/>
          <w:numId w:val="13"/>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Each Party shall be liable to the other Party/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for any damages it causes the other Party/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by any breach of these Clauses. </w:t>
      </w:r>
    </w:p>
    <w:p w14:paraId="00000085" w14:textId="77777777" w:rsidR="00E67F5D"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Each Party shall be liable to the data subject, and the data subject shall be entitled to receive compensation, for any material or non-material damages that the Party causes the data subject by breaching the third-party beneficiary rights under these Clauses. This is without prejudice to the liability of the data exporter under Regulation (EU) 2016/679.</w:t>
      </w:r>
    </w:p>
    <w:p w14:paraId="00000086" w14:textId="77777777" w:rsidR="00E67F5D"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more than one Party is responsible for any damage caused to the data subject as a result of a breach of these Clauses, all responsible Parties shall be jointly and severally liable and the data subject is entitled to bring an action in court against any of these Parties.</w:t>
      </w:r>
    </w:p>
    <w:p w14:paraId="00000087" w14:textId="77777777" w:rsidR="00E67F5D"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agree that if one Party is held liable under paragraph (c), it shall be entitled to claim back from the other Party/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xml:space="preserve"> that part of the compensation corresponding to its / their responsibility for the damage.</w:t>
      </w:r>
    </w:p>
    <w:p w14:paraId="00000088" w14:textId="77777777" w:rsidR="00E67F5D"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may not invoke the conduct of a processor or sub-processor to avoid its own liability.</w:t>
      </w:r>
    </w:p>
    <w:p w14:paraId="00000089" w14:textId="77777777" w:rsidR="00E67F5D" w:rsidRDefault="00E67F5D">
      <w:pPr>
        <w:spacing w:before="120" w:after="120" w:line="240" w:lineRule="auto"/>
        <w:ind w:left="850" w:hanging="850"/>
        <w:jc w:val="both"/>
        <w:rPr>
          <w:rFonts w:ascii="Times New Roman" w:eastAsia="Times New Roman" w:hAnsi="Times New Roman" w:cs="Times New Roman"/>
          <w:b/>
          <w:sz w:val="24"/>
          <w:szCs w:val="24"/>
          <w:highlight w:val="lightGray"/>
        </w:rPr>
      </w:pPr>
    </w:p>
    <w:p w14:paraId="0000008A"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Clause 13</w:t>
      </w:r>
    </w:p>
    <w:p w14:paraId="0000008B"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Supervision</w:t>
      </w:r>
    </w:p>
    <w:p w14:paraId="0000008C" w14:textId="77777777" w:rsidR="00E67F5D" w:rsidRDefault="00E67F5D">
      <w:pPr>
        <w:spacing w:before="120" w:after="120" w:line="240" w:lineRule="auto"/>
        <w:jc w:val="center"/>
        <w:rPr>
          <w:rFonts w:ascii="Times New Roman" w:eastAsia="Times New Roman" w:hAnsi="Times New Roman" w:cs="Times New Roman"/>
          <w:b/>
          <w:i/>
          <w:sz w:val="24"/>
          <w:szCs w:val="24"/>
        </w:rPr>
      </w:pPr>
    </w:p>
    <w:p w14:paraId="0000008D" w14:textId="77777777" w:rsidR="00E67F5D" w:rsidRDefault="00000000">
      <w:pPr>
        <w:numPr>
          <w:ilvl w:val="1"/>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supervisory authority with responsibility for ensuring compliance by the data exporter with Regulation (EU) 2016/679 as regards the data transfer, as indicated in Annex I.C, shall act as competent supervisory authority.</w:t>
      </w:r>
    </w:p>
    <w:p w14:paraId="0000008E"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08F" w14:textId="77777777" w:rsidR="00E67F5D" w:rsidRDefault="00000000">
      <w:pPr>
        <w:numPr>
          <w:ilvl w:val="1"/>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to submit itself to the jurisdiction of and cooperate with the competent supervisory authority in any procedures aimed at ensuring compliance with these Clauses. In particular, the data importer agrees to respond to enquiries, submit to audits and comply with the measures adopted by the supervisory authority, including remedial and compensatory measures. It shall provide the supervisory authority with written confirmation that the necessary actions have been taken.</w:t>
      </w:r>
    </w:p>
    <w:p w14:paraId="00000090" w14:textId="77777777" w:rsidR="00E67F5D" w:rsidRDefault="00E67F5D">
      <w:pPr>
        <w:spacing w:before="120" w:after="120" w:line="240" w:lineRule="auto"/>
        <w:jc w:val="center"/>
        <w:rPr>
          <w:rFonts w:ascii="Times New Roman" w:eastAsia="Times New Roman" w:hAnsi="Times New Roman" w:cs="Times New Roman"/>
          <w:b/>
          <w:sz w:val="24"/>
          <w:szCs w:val="24"/>
          <w:u w:val="single"/>
        </w:rPr>
      </w:pPr>
    </w:p>
    <w:p w14:paraId="00000091" w14:textId="77777777" w:rsidR="00E67F5D" w:rsidRDefault="00E67F5D">
      <w:pPr>
        <w:spacing w:before="120" w:after="120" w:line="240" w:lineRule="auto"/>
        <w:jc w:val="center"/>
        <w:rPr>
          <w:rFonts w:ascii="Times New Roman" w:eastAsia="Times New Roman" w:hAnsi="Times New Roman" w:cs="Times New Roman"/>
          <w:b/>
          <w:sz w:val="24"/>
          <w:szCs w:val="24"/>
          <w:u w:val="single"/>
        </w:rPr>
      </w:pPr>
    </w:p>
    <w:p w14:paraId="00000092"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SECTION III – LOCAL LAWS AND OBLIGATIONS IN CASE OF ACCESS BY PUBLIC AUTHORITIES</w:t>
      </w:r>
    </w:p>
    <w:p w14:paraId="00000093"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14</w:t>
      </w:r>
    </w:p>
    <w:p w14:paraId="00000094" w14:textId="77777777" w:rsidR="00E67F5D" w:rsidRDefault="00000000">
      <w:pPr>
        <w:spacing w:before="120" w:after="12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i/>
          <w:sz w:val="24"/>
          <w:szCs w:val="24"/>
        </w:rPr>
        <w:t>Local laws and practices affecting compliance with the Clauses</w:t>
      </w:r>
    </w:p>
    <w:p w14:paraId="00000095" w14:textId="77777777" w:rsidR="00E67F5D" w:rsidRDefault="00000000">
      <w:pPr>
        <w:numPr>
          <w:ilvl w:val="1"/>
          <w:numId w:val="8"/>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warrant that they have no reason to believe that the laws and practices in the third country of destination applicable to the processing of the personal data by the data importer, including any requirements to disclose personal data or measures authorising access by public authorities, prevent the data importer from fulfilling its obligations under these Clauses. This is based on the understanding that laws and practices that respect the essence of the fundamental rights and freedoms and do not exceed what is necessary and proportionate in a democratic society to safeguard one of the objectives listed in Article 23(1) of Regulation (EU) 2016/679, are not in contradiction with these Clauses.</w:t>
      </w:r>
    </w:p>
    <w:p w14:paraId="00000096"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declare that in providing the warranty in paragraph (a), they have taken due account in particular of the following elements:</w:t>
      </w:r>
    </w:p>
    <w:p w14:paraId="00000097" w14:textId="77777777" w:rsidR="00E67F5D" w:rsidRDefault="00000000">
      <w:pPr>
        <w:numPr>
          <w:ilvl w:val="3"/>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specific circumstances of the transfer, including the length of the processing chain, the number of actors involved and the transmission channels used; intended onward transfers; the type of recipient; the purpose of processing; the categories and format of the transferred personal data; the economic sector in which the transfer occurs; the storage location of the data transferred; </w:t>
      </w:r>
    </w:p>
    <w:p w14:paraId="00000098" w14:textId="77777777" w:rsidR="00E67F5D" w:rsidRDefault="00000000">
      <w:pPr>
        <w:numPr>
          <w:ilvl w:val="3"/>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laws and practices of the third country of destination– including those requiring the disclosure of data to public authorities or authorising access by such authorities – relevant in light of the specific circumstances of the transfer, and the applicable limitations and safeguards</w:t>
      </w:r>
      <w:r>
        <w:rPr>
          <w:rFonts w:ascii="Times New Roman" w:eastAsia="Times New Roman" w:hAnsi="Times New Roman" w:cs="Times New Roman"/>
          <w:sz w:val="24"/>
          <w:szCs w:val="24"/>
          <w:vertAlign w:val="superscript"/>
        </w:rPr>
        <w:footnoteReference w:id="6"/>
      </w:r>
      <w:r>
        <w:rPr>
          <w:rFonts w:ascii="Times New Roman" w:eastAsia="Times New Roman" w:hAnsi="Times New Roman" w:cs="Times New Roman"/>
          <w:sz w:val="24"/>
          <w:szCs w:val="24"/>
        </w:rPr>
        <w:t xml:space="preserve">; </w:t>
      </w:r>
    </w:p>
    <w:p w14:paraId="00000099" w14:textId="77777777" w:rsidR="00E67F5D" w:rsidRDefault="00000000">
      <w:pPr>
        <w:numPr>
          <w:ilvl w:val="3"/>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any relevant contractual, technical or organisational safeguards put in place to supplement the safeguards under these Clauses, including measures applied during transmission and to the processing of the personal data in the country of destination.</w:t>
      </w:r>
    </w:p>
    <w:p w14:paraId="0000009A"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warrants that, in carrying out the assessment under paragraph (b), it has made its best efforts to provide the data exporter with relevant information and agrees that it will continue to cooperate with the data exporter in ensuring compliance with these Clauses.</w:t>
      </w:r>
    </w:p>
    <w:p w14:paraId="0000009B"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agree to document the assessment under paragraph (b) and make it available to the competent supervisory authority on request.</w:t>
      </w:r>
    </w:p>
    <w:p w14:paraId="0000009C"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to notify the data exporter promptly if, after having agreed to these Clauses and for the duration of the contract, it has reason to believe that it is or has become subject to laws or practices not in line with the requirements under paragraph (a), including following a change in the laws of the third country or a measure (such as a disclosure request) indicating an application of such laws in practice that is not in line with the requirements in paragraph (a). [For Module Three: The data exporter shall forward the notification to the controller.]</w:t>
      </w:r>
    </w:p>
    <w:p w14:paraId="0000009D" w14:textId="77777777" w:rsidR="00E67F5D"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Following a notification pursuant to paragraph (e), or if the data exporter otherwise has reason to believe that the data importer can no longer fulfil its obligations under these Clauses, the data exporter shall promptly identify appropriate measures (e.g. technical or organisational measures to ensure security and confidentiality) to be adopted by the data exporter and/or data importer to address the situation [for Module Three: , if appropriate in consultation with the controller]. The data exporter shall suspend the data transfer if it considers that no appropriate safeguards for such transfer can be ensured, or if instructed by [for Module Three: the controller or] the competent supervisory authority to do so. In this case, the data exporter shall be entitled to terminate the contract, insofar as it concerns the processing of personal data under these Clauses. If the contract involves more than two Parties, the data exporter may exercise this right to termination only with respect to the relevant Party, unless the Parties have agreed otherwise. Where the contract is terminated pursuant to this Clause, Clause 16(d) and (e) shall apply. </w:t>
      </w:r>
      <w:r>
        <w:rPr>
          <w:rFonts w:ascii="Times New Roman" w:eastAsia="Times New Roman" w:hAnsi="Times New Roman" w:cs="Times New Roman"/>
          <w:color w:val="444444"/>
          <w:sz w:val="27"/>
          <w:szCs w:val="27"/>
          <w:highlight w:val="white"/>
        </w:rPr>
        <w:t xml:space="preserve"> </w:t>
      </w:r>
    </w:p>
    <w:p w14:paraId="0000009E"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15</w:t>
      </w:r>
    </w:p>
    <w:p w14:paraId="0000009F"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Obligations of the data importer in case of access by public authorities</w:t>
      </w:r>
    </w:p>
    <w:p w14:paraId="000000A0" w14:textId="77777777" w:rsidR="00E67F5D" w:rsidRDefault="00000000">
      <w:pPr>
        <w:spacing w:before="24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15.1</w:t>
      </w:r>
      <w:r>
        <w:rPr>
          <w:rFonts w:ascii="Times New Roman" w:eastAsia="Times New Roman" w:hAnsi="Times New Roman" w:cs="Times New Roman"/>
          <w:b/>
          <w:sz w:val="24"/>
          <w:szCs w:val="24"/>
        </w:rPr>
        <w:tab/>
        <w:t>Notification</w:t>
      </w:r>
    </w:p>
    <w:p w14:paraId="000000A1"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The data importer agrees to notify the data exporter and, where possible, the data subject promptly (if necessary with the help of the data exporter) if it: </w:t>
      </w:r>
    </w:p>
    <w:p w14:paraId="000000A2" w14:textId="77777777" w:rsidR="00E67F5D"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receives a legally binding request from a public authority, including judicial authorities, under the laws of the country of destination for the disclosure of personal data transferred pursuant to these Clauses; such notification shall include information about the personal data requested, the requesting authority, the legal basis for the request and the response provided; or</w:t>
      </w:r>
    </w:p>
    <w:p w14:paraId="000000A3" w14:textId="77777777" w:rsidR="00E67F5D"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becomes aware of any direct access by public authorities to personal data transferred pursuant to these Clauses in accordance with the laws of the country of destination; such notification shall include all information available to the importer.</w:t>
      </w:r>
    </w:p>
    <w:p w14:paraId="000000A4"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[For Module Three: The data exporter shall forward the notification to the controller.]</w:t>
      </w:r>
    </w:p>
    <w:p w14:paraId="000000A5"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If the data importer is prohibited from notifying the data exporter and/or the data subject under the laws of the country of destination, the data importer agrees to use its best efforts to obtain a waiver of the prohibition, with a view to communicating as much information as possible, as soon as possible. The data importer agrees to document its best efforts in order to be able to demonstrate them on request of the data exporter. </w:t>
      </w:r>
    </w:p>
    <w:p w14:paraId="000000A6"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Where permissible under the laws of the country of destination, the data importer agrees to provide the data exporter, at regular intervals for the duration of the contract, with as much relevant information as possible on the requests received (in particular, number of requests, type of data requested, requesting authority/</w:t>
      </w:r>
      <w:proofErr w:type="spellStart"/>
      <w:r>
        <w:rPr>
          <w:rFonts w:ascii="Times New Roman" w:eastAsia="Times New Roman" w:hAnsi="Times New Roman" w:cs="Times New Roman"/>
          <w:sz w:val="24"/>
          <w:szCs w:val="24"/>
        </w:rPr>
        <w:t>ies</w:t>
      </w:r>
      <w:proofErr w:type="spellEnd"/>
      <w:r>
        <w:rPr>
          <w:rFonts w:ascii="Times New Roman" w:eastAsia="Times New Roman" w:hAnsi="Times New Roman" w:cs="Times New Roman"/>
          <w:sz w:val="24"/>
          <w:szCs w:val="24"/>
        </w:rPr>
        <w:t>, whether requests have been challenged and the outcome of such challenges, etc.). [For Module Three: The data exporter shall forward the information to the controller.]</w:t>
      </w:r>
    </w:p>
    <w:p w14:paraId="000000A7"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agrees to preserve the information pursuant to paragraphs (a) to (c) for the duration of the contract and make it available to the competent supervisory authority on request. </w:t>
      </w:r>
    </w:p>
    <w:p w14:paraId="000000A8" w14:textId="77777777" w:rsidR="00E67F5D"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Paragraphs (a) to (c) are without prejudice to the obligation of the data importer pursuant to Clause 14(e) and Clause 16 to inform the data exporter promptly where it is unable to comply with these Clauses.</w:t>
      </w:r>
    </w:p>
    <w:p w14:paraId="000000A9" w14:textId="77777777" w:rsidR="00E67F5D"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15.2</w:t>
      </w:r>
      <w:r>
        <w:rPr>
          <w:rFonts w:ascii="Times New Roman" w:eastAsia="Times New Roman" w:hAnsi="Times New Roman" w:cs="Times New Roman"/>
          <w:b/>
          <w:sz w:val="24"/>
          <w:szCs w:val="24"/>
        </w:rPr>
        <w:tab/>
        <w:t>Review of legality and data minimisation</w:t>
      </w:r>
    </w:p>
    <w:p w14:paraId="000000AA" w14:textId="77777777" w:rsidR="00E67F5D"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to review the legality of the request for disclosure, in particular whether it remains within the powers granted to the requesting public authority, and to challenge the request if, after careful assessment, it concludes that there are reasonable grounds to consider that the request is unlawful under the laws of the country of destination, applicable obligations under international law and principles of international comity. The data importer shall, under the same conditions, pursue possibilities of appeal. When challenging a request, the data importer shall seek interim measures with a view to suspending the effects of the request until the competent judicial authority has decided on its merits. It shall not disclose the personal data requested until required to do so under the applicable procedural rules. These requirements are without prejudice to the obligations of the data importer under Clause 14(e).</w:t>
      </w:r>
    </w:p>
    <w:p w14:paraId="000000AB" w14:textId="77777777" w:rsidR="00E67F5D"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The data importer agrees to document its legal assessment and any challenge to the request for disclosure and, to the extent permissible under the laws of the country of destination, make the documentation available to the data exporter. It shall also make it available to the competent supervisory authority on request. [For Module Three: The data exporter shall make the assessment available to the controller.] </w:t>
      </w:r>
    </w:p>
    <w:p w14:paraId="000000AC" w14:textId="77777777" w:rsidR="00E67F5D"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agrees to provide the minimum amount of information permissible when responding to a request for disclosure, based on a reasonable interpretation of the request.</w:t>
      </w:r>
    </w:p>
    <w:p w14:paraId="000000AD" w14:textId="77777777" w:rsidR="00E67F5D" w:rsidRDefault="00E67F5D">
      <w:pPr>
        <w:spacing w:before="120" w:after="120" w:line="240" w:lineRule="auto"/>
        <w:ind w:left="850"/>
        <w:jc w:val="both"/>
        <w:rPr>
          <w:rFonts w:ascii="Times New Roman" w:eastAsia="Times New Roman" w:hAnsi="Times New Roman" w:cs="Times New Roman"/>
          <w:sz w:val="24"/>
          <w:szCs w:val="24"/>
        </w:rPr>
      </w:pPr>
    </w:p>
    <w:p w14:paraId="000000AE"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SECTION IV – FINAL PROVISIONS</w:t>
      </w:r>
    </w:p>
    <w:p w14:paraId="000000AF"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16</w:t>
      </w:r>
    </w:p>
    <w:p w14:paraId="000000B0"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Non-compliance with the Clauses and termination</w:t>
      </w:r>
    </w:p>
    <w:p w14:paraId="000000B1"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importer shall promptly inform the data exporter if it is unable to comply with these Clauses, for whatever reason. </w:t>
      </w:r>
    </w:p>
    <w:p w14:paraId="000000B2"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the event that the data importer is in breach of these Clauses or unable to comply with these Clauses, the data exporter shall suspend the transfer of personal data to the data importer until compliance is again ensured or the contract is terminated. This is without prejudice to Clause 14(f).</w:t>
      </w:r>
    </w:p>
    <w:p w14:paraId="000000B3"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exporter shall be entitled to terminate the contract, insofar as it concerns the processing of personal data under these Clauses, where:</w:t>
      </w:r>
    </w:p>
    <w:p w14:paraId="000000B4" w14:textId="77777777" w:rsidR="00E67F5D" w:rsidRDefault="00000000">
      <w:pPr>
        <w:numPr>
          <w:ilvl w:val="3"/>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data exporter has suspended the transfer of personal data to the data importer pursuant to paragraph (b) and compliance with these Clauses is not restored within a reasonable time and in any event within one month of suspension; </w:t>
      </w:r>
    </w:p>
    <w:p w14:paraId="000000B5" w14:textId="77777777" w:rsidR="00E67F5D" w:rsidRDefault="00000000">
      <w:pPr>
        <w:numPr>
          <w:ilvl w:val="3"/>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is in substantial or persistent breach of these Clauses; or</w:t>
      </w:r>
    </w:p>
    <w:p w14:paraId="000000B6" w14:textId="77777777" w:rsidR="00E67F5D" w:rsidRDefault="00000000">
      <w:pPr>
        <w:numPr>
          <w:ilvl w:val="3"/>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importer fails to comply with a binding decision of a competent court or supervisory authority regarding its obligations under these Clauses.</w:t>
      </w:r>
    </w:p>
    <w:p w14:paraId="000000B7" w14:textId="77777777" w:rsidR="00E67F5D"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these cases, it shall inform the competent supervisory authority [for Module Three: and the controller] of such non-compliance. Where the contract involves more than two Parties, the data exporter may exercise this right to termination only with respect to the relevant Party, unless the Parties have agreed otherwise. </w:t>
      </w:r>
    </w:p>
    <w:p w14:paraId="000000B8"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[For Modules One, Two and Three: Personal data that has been transferred prior to the termination of the contract pursuant to paragraph (c) shall at the choice of the data exporter immediately be returned to the data exporter or deleted in its entirety. The same shall apply to any copies of the data.] [For Module Four: Personal data collected by the data exporter in the EU that has been transferred prior to the termination of the contract pursuant to paragraph (c) shall immediately be deleted in its entirety, including any copy thereof.] The data importer shall certify the deletion of the data to the data exporter. Until the data is deleted or returned, the data importer shall continue to ensure compliance with these Clauses. In case of local laws applicable to the data importer that prohibit the return or deletion of the transferred personal data, the data importer warrants that it will continue to ensure compliance with these Clauses and will only process the data to the extent and for as long as required under that local law. </w:t>
      </w:r>
    </w:p>
    <w:p w14:paraId="000000B9"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Either Party may revoke its agreement to be bound by these Clauses where (i) the European Commission adopts a decision pursuant to Article 45(3) of Regulation (EU) 2016/679 that covers the transfer of personal data to which these Clauses apply; or (ii) Regulation (EU) 2016/679 becomes part of the legal framework of the country to which the personal data is transferred. This is without prejudice to other obligations applying to the processing in question under Regulation (EU) 2016/679. </w:t>
      </w:r>
    </w:p>
    <w:p w14:paraId="000000BA"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17</w:t>
      </w:r>
    </w:p>
    <w:p w14:paraId="000000BB"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Governing law</w:t>
      </w:r>
    </w:p>
    <w:p w14:paraId="000000BC"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These Clauses shall be governed by the law of one of the EU Member States, provided such law allows for third-party beneficiary rights. The Parties agree that this shall be the law of  Belgium.</w:t>
      </w:r>
    </w:p>
    <w:p w14:paraId="000000BD" w14:textId="77777777" w:rsidR="00E67F5D"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Clause 18</w:t>
      </w:r>
    </w:p>
    <w:p w14:paraId="000000BE" w14:textId="77777777" w:rsidR="00E67F5D"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Choice of forum and jurisdiction</w:t>
      </w:r>
    </w:p>
    <w:p w14:paraId="000000BF" w14:textId="77777777" w:rsidR="00E67F5D" w:rsidRDefault="00000000">
      <w:pPr>
        <w:numPr>
          <w:ilvl w:val="1"/>
          <w:numId w:val="1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Any dispute arising from these Clauses shall be resolved by the courts of an EU Member State.</w:t>
      </w:r>
    </w:p>
    <w:p w14:paraId="000000C0"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agree that those shall be the courts of Belgium.</w:t>
      </w:r>
    </w:p>
    <w:p w14:paraId="000000C1"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data subject may also bring legal proceedings against the data exporter and/or data importer before the courts of the Member State in which he/she has his/her habitual residence. </w:t>
      </w:r>
    </w:p>
    <w:p w14:paraId="000000C2" w14:textId="77777777" w:rsidR="00E67F5D"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Parties agree to submit themselves to the jurisdiction of such courts.</w:t>
      </w:r>
    </w:p>
    <w:p w14:paraId="000000C3" w14:textId="77777777" w:rsidR="00E67F5D" w:rsidRDefault="00E67F5D">
      <w:pPr>
        <w:rPr>
          <w:rFonts w:ascii="Times New Roman" w:eastAsia="Times New Roman" w:hAnsi="Times New Roman" w:cs="Times New Roman"/>
          <w:b/>
          <w:sz w:val="24"/>
          <w:szCs w:val="24"/>
          <w:highlight w:val="lightGray"/>
        </w:rPr>
      </w:pPr>
    </w:p>
    <w:p w14:paraId="000000C4" w14:textId="77777777" w:rsidR="00E67F5D" w:rsidRDefault="00000000">
      <w:pPr>
        <w:jc w:val="both"/>
        <w:rPr>
          <w:rFonts w:ascii="Times New Roman" w:eastAsia="Times New Roman" w:hAnsi="Times New Roman" w:cs="Times New Roman"/>
          <w:sz w:val="24"/>
          <w:szCs w:val="24"/>
        </w:rPr>
      </w:pPr>
      <w:r>
        <w:br w:type="page"/>
      </w:r>
    </w:p>
    <w:p w14:paraId="000000C5" w14:textId="77777777" w:rsidR="00E67F5D"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 xml:space="preserve">APPENDIX </w:t>
      </w:r>
    </w:p>
    <w:p w14:paraId="000000C6"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EXPLANATORY NOTE: </w:t>
      </w:r>
    </w:p>
    <w:p w14:paraId="000000C7" w14:textId="77777777" w:rsidR="00E67F5D" w:rsidRDefault="00000000">
      <w:pPr>
        <w:spacing w:before="12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sz w:val="24"/>
          <w:szCs w:val="24"/>
        </w:rPr>
        <w:t>It must be possible to clearly distinguish the information applicable to each transfer or category of transfers and, in this regard, to determine the respective role(s) of the Parties as data exporter(s) and/or data importer(s). This does not necessarily require completing and signing separate appendices for each transfer/category of transfers and/or contractual relationship, where this transparency can achieved through one appendix. However, where necessary to ensure sufficient clarity, separate appendices should be used.</w:t>
      </w:r>
    </w:p>
    <w:p w14:paraId="000000C8" w14:textId="77777777" w:rsidR="00E67F5D" w:rsidRDefault="00000000">
      <w:pPr>
        <w:spacing w:before="24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ANNEX I</w:t>
      </w:r>
    </w:p>
    <w:p w14:paraId="000000C9" w14:textId="77777777" w:rsidR="00E67F5D" w:rsidRDefault="00000000">
      <w:pPr>
        <w:spacing w:before="240" w:after="120" w:line="240" w:lineRule="auto"/>
        <w:ind w:left="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 LIST OF PARTIES</w:t>
      </w:r>
    </w:p>
    <w:p w14:paraId="000000CA" w14:textId="77777777" w:rsidR="00E67F5D" w:rsidRDefault="00E67F5D">
      <w:pPr>
        <w:spacing w:before="120" w:after="120" w:line="240" w:lineRule="auto"/>
        <w:jc w:val="both"/>
        <w:rPr>
          <w:rFonts w:ascii="Times New Roman" w:eastAsia="Times New Roman" w:hAnsi="Times New Roman" w:cs="Times New Roman"/>
          <w:b/>
          <w:sz w:val="24"/>
          <w:szCs w:val="24"/>
        </w:rPr>
      </w:pPr>
    </w:p>
    <w:p w14:paraId="000000CB" w14:textId="03956B4E" w:rsidR="00E67F5D" w:rsidRPr="00277899" w:rsidRDefault="00000000">
      <w:pPr>
        <w:spacing w:before="120" w:after="120" w:line="240" w:lineRule="auto"/>
        <w:jc w:val="both"/>
        <w:rPr>
          <w:rFonts w:ascii="Times New Roman" w:eastAsia="Times New Roman" w:hAnsi="Times New Roman" w:cs="Times New Roman"/>
          <w:i/>
          <w:sz w:val="24"/>
          <w:szCs w:val="24"/>
          <w:lang w:val="nl-BE"/>
        </w:rPr>
      </w:pPr>
      <w:r w:rsidRPr="00277899">
        <w:rPr>
          <w:rFonts w:ascii="Times New Roman" w:eastAsia="Times New Roman" w:hAnsi="Times New Roman" w:cs="Times New Roman"/>
          <w:b/>
          <w:sz w:val="24"/>
          <w:szCs w:val="24"/>
          <w:lang w:val="nl-BE"/>
        </w:rPr>
        <w:t xml:space="preserve">Data </w:t>
      </w:r>
      <w:proofErr w:type="spellStart"/>
      <w:r w:rsidRPr="00277899">
        <w:rPr>
          <w:rFonts w:ascii="Times New Roman" w:eastAsia="Times New Roman" w:hAnsi="Times New Roman" w:cs="Times New Roman"/>
          <w:b/>
          <w:sz w:val="24"/>
          <w:szCs w:val="24"/>
          <w:lang w:val="nl-BE"/>
        </w:rPr>
        <w:t>exporter</w:t>
      </w:r>
      <w:proofErr w:type="spellEnd"/>
      <w:r w:rsidRPr="00277899">
        <w:rPr>
          <w:rFonts w:ascii="Times New Roman" w:eastAsia="Times New Roman" w:hAnsi="Times New Roman" w:cs="Times New Roman"/>
          <w:b/>
          <w:sz w:val="24"/>
          <w:szCs w:val="24"/>
          <w:lang w:val="nl-BE"/>
        </w:rPr>
        <w:t xml:space="preserve">(s): </w:t>
      </w:r>
    </w:p>
    <w:p w14:paraId="000000CC" w14:textId="77777777" w:rsidR="00E67F5D" w:rsidRPr="00320CF2" w:rsidRDefault="00000000">
      <w:pPr>
        <w:spacing w:before="120" w:after="120" w:line="240" w:lineRule="auto"/>
        <w:jc w:val="both"/>
        <w:rPr>
          <w:rFonts w:ascii="Times New Roman" w:eastAsia="Times New Roman" w:hAnsi="Times New Roman" w:cs="Times New Roman"/>
          <w:sz w:val="24"/>
          <w:szCs w:val="24"/>
          <w:lang w:val="nl-BE"/>
        </w:rPr>
      </w:pPr>
      <w:r w:rsidRPr="00320CF2">
        <w:rPr>
          <w:rFonts w:ascii="Times New Roman" w:eastAsia="Times New Roman" w:hAnsi="Times New Roman" w:cs="Times New Roman"/>
          <w:sz w:val="24"/>
          <w:szCs w:val="24"/>
          <w:lang w:val="nl-BE"/>
        </w:rPr>
        <w:t>1. Name:  Agentschap Wegen en Verkeer (AWV)</w:t>
      </w:r>
    </w:p>
    <w:p w14:paraId="000000CD" w14:textId="5B10914E"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Address: </w:t>
      </w:r>
      <w:r w:rsidR="00D52B39" w:rsidRPr="00277899">
        <w:rPr>
          <w:rFonts w:ascii="Times New Roman" w:eastAsia="Times New Roman" w:hAnsi="Times New Roman" w:cs="Times New Roman"/>
          <w:sz w:val="24"/>
          <w:szCs w:val="24"/>
          <w:highlight w:val="yellow"/>
        </w:rPr>
        <w:t>[address]</w:t>
      </w:r>
    </w:p>
    <w:p w14:paraId="000000CF" w14:textId="0309B9B2"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Contact person’s name, position and contact details: </w:t>
      </w:r>
      <w:r w:rsidR="00D52B39" w:rsidRPr="00277899">
        <w:rPr>
          <w:rFonts w:ascii="Times New Roman" w:eastAsia="Times New Roman" w:hAnsi="Times New Roman" w:cs="Times New Roman"/>
          <w:sz w:val="24"/>
          <w:szCs w:val="24"/>
          <w:highlight w:val="yellow"/>
        </w:rPr>
        <w:t>[First name Last name]</w:t>
      </w:r>
      <w:r w:rsidRPr="00320CF2">
        <w:rPr>
          <w:rFonts w:ascii="Times New Roman" w:eastAsia="Times New Roman" w:hAnsi="Times New Roman" w:cs="Times New Roman"/>
          <w:sz w:val="24"/>
          <w:szCs w:val="24"/>
        </w:rPr>
        <w:t>, Data Protection Officer of the internally autonomous agency without legal personality</w:t>
      </w:r>
      <w:r w:rsidR="00320CF2">
        <w:rPr>
          <w:rFonts w:ascii="Times New Roman" w:eastAsia="Times New Roman" w:hAnsi="Times New Roman" w:cs="Times New Roman"/>
          <w:sz w:val="24"/>
          <w:szCs w:val="24"/>
        </w:rPr>
        <w:t xml:space="preserve"> </w:t>
      </w:r>
      <w:proofErr w:type="spellStart"/>
      <w:r w:rsidRPr="00320CF2">
        <w:rPr>
          <w:rFonts w:ascii="Times New Roman" w:eastAsia="Times New Roman" w:hAnsi="Times New Roman" w:cs="Times New Roman"/>
          <w:sz w:val="24"/>
          <w:szCs w:val="24"/>
        </w:rPr>
        <w:t>Agentschap</w:t>
      </w:r>
      <w:proofErr w:type="spellEnd"/>
      <w:r w:rsidRPr="00320CF2">
        <w:rPr>
          <w:rFonts w:ascii="Times New Roman" w:eastAsia="Times New Roman" w:hAnsi="Times New Roman" w:cs="Times New Roman"/>
          <w:sz w:val="24"/>
          <w:szCs w:val="24"/>
        </w:rPr>
        <w:t xml:space="preserve"> </w:t>
      </w:r>
      <w:proofErr w:type="spellStart"/>
      <w:r w:rsidRPr="00320CF2">
        <w:rPr>
          <w:rFonts w:ascii="Times New Roman" w:eastAsia="Times New Roman" w:hAnsi="Times New Roman" w:cs="Times New Roman"/>
          <w:sz w:val="24"/>
          <w:szCs w:val="24"/>
        </w:rPr>
        <w:t>Wegen</w:t>
      </w:r>
      <w:proofErr w:type="spellEnd"/>
      <w:r w:rsidRPr="00320CF2">
        <w:rPr>
          <w:rFonts w:ascii="Times New Roman" w:eastAsia="Times New Roman" w:hAnsi="Times New Roman" w:cs="Times New Roman"/>
          <w:sz w:val="24"/>
          <w:szCs w:val="24"/>
        </w:rPr>
        <w:t xml:space="preserve"> en </w:t>
      </w:r>
      <w:proofErr w:type="spellStart"/>
      <w:r w:rsidRPr="00320CF2">
        <w:rPr>
          <w:rFonts w:ascii="Times New Roman" w:eastAsia="Times New Roman" w:hAnsi="Times New Roman" w:cs="Times New Roman"/>
          <w:sz w:val="24"/>
          <w:szCs w:val="24"/>
        </w:rPr>
        <w:t>Verkeer</w:t>
      </w:r>
      <w:proofErr w:type="spellEnd"/>
      <w:r w:rsidRPr="00320CF2">
        <w:rPr>
          <w:rFonts w:ascii="Times New Roman" w:eastAsia="Times New Roman" w:hAnsi="Times New Roman" w:cs="Times New Roman"/>
          <w:sz w:val="24"/>
          <w:szCs w:val="24"/>
        </w:rPr>
        <w:t xml:space="preserve"> (</w:t>
      </w:r>
      <w:r w:rsidR="00D52B39" w:rsidRPr="00277899">
        <w:rPr>
          <w:rFonts w:ascii="Times New Roman" w:eastAsia="Times New Roman" w:hAnsi="Times New Roman" w:cs="Times New Roman"/>
          <w:sz w:val="24"/>
          <w:szCs w:val="24"/>
          <w:highlight w:val="yellow"/>
        </w:rPr>
        <w:t>[DPO mail address]</w:t>
      </w:r>
      <w:r w:rsidRPr="00320CF2">
        <w:rPr>
          <w:rFonts w:ascii="Times New Roman" w:eastAsia="Times New Roman" w:hAnsi="Times New Roman" w:cs="Times New Roman"/>
          <w:sz w:val="24"/>
          <w:szCs w:val="24"/>
        </w:rPr>
        <w:t>)</w:t>
      </w:r>
    </w:p>
    <w:p w14:paraId="000000D0"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Activities relevant to the data transferred under these Clauses: </w:t>
      </w:r>
    </w:p>
    <w:p w14:paraId="000000D1"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AWV is the road operator for regional roads and highways in the Flemish region of Belgium. </w:t>
      </w:r>
    </w:p>
    <w:p w14:paraId="000000D2"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Mobilidata is a program of the Flemish government in which governments, companies and researchers work together to develop and implement innovative technological traffic solutions. The goal is to make traffic safer, smoother, more sustainable and more comfortable for all road users. This is achieved by using intelligent data and technologies such as intelligent traffic lights, improved route advice and customized traffic reports. The Mobilidata program consists of various new applications that contribute to smoother, more sustainable, more comfortable and safer traffic.</w:t>
      </w:r>
    </w:p>
    <w:p w14:paraId="000000D3"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AWV plays a crucial role in this program. The program realized a platform that connects intelligent ICT systems, built into the new road infrastructure, with road users. AWV has been given the task of designing, constructing, maintaining this “Mobilidata” platform, and managing and technically exploiting the electromechanical and telematics equipment.</w:t>
      </w:r>
    </w:p>
    <w:p w14:paraId="000000D4"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In order to be able to provide these new or improved services to road users, AWV relies on the connection of and data exchange with service providers. These service providers provide traffic information services to their connected road users or partners who have the link with the road users.</w:t>
      </w:r>
    </w:p>
    <w:p w14:paraId="000000D5" w14:textId="77777777" w:rsidR="00E67F5D" w:rsidRPr="00320CF2"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AWV provides traffic-related data via the Mobilidata Interchange to connected parties, subject to the restrictions and obligations of the main Agreement, including but not limited to article 5, 6 and 7 of the main Agreement. This data may only be used within the framework of the explicitly agreed Use Cases and objectives. The exchange of data under the main  Agreement is limited to real-time and/or near-time traffic information specifically related to the agreed use cases. These use cases are described in detail in </w:t>
      </w:r>
      <w:r w:rsidRPr="00320CF2">
        <w:rPr>
          <w:rFonts w:ascii="Times New Roman" w:eastAsia="Times New Roman" w:hAnsi="Times New Roman" w:cs="Times New Roman"/>
          <w:sz w:val="24"/>
          <w:szCs w:val="24"/>
        </w:rPr>
        <w:lastRenderedPageBreak/>
        <w:t xml:space="preserve">Annex 1 to the Main Agreement. Use of the data for purposes other than those in the main Agreement is only permitted with the prior written consent of AWV. </w:t>
      </w:r>
    </w:p>
    <w:p w14:paraId="000000D6" w14:textId="793CC65D" w:rsidR="00E67F5D" w:rsidRPr="00320CF2" w:rsidRDefault="00000000">
      <w:pPr>
        <w:numPr>
          <w:ilvl w:val="0"/>
          <w:numId w:val="20"/>
        </w:num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 xml:space="preserve">In concrete terms, the data is passed on to </w:t>
      </w:r>
      <w:r w:rsidR="00B42D53">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so that </w:t>
      </w:r>
      <w:r w:rsidR="00B42D53">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can perform the following service: passing on data obtained from AWV to car manufacturers or other traffic information services</w:t>
      </w:r>
      <w:r w:rsidR="00B42D53">
        <w:rPr>
          <w:rFonts w:ascii="Times New Roman" w:eastAsia="Times New Roman" w:hAnsi="Times New Roman" w:cs="Times New Roman"/>
          <w:sz w:val="24"/>
          <w:szCs w:val="24"/>
        </w:rPr>
        <w:t xml:space="preserve">. </w:t>
      </w:r>
      <w:r w:rsidR="00B42D53" w:rsidRPr="00B42D53">
        <w:rPr>
          <w:rFonts w:ascii="Times New Roman" w:eastAsia="Times New Roman" w:hAnsi="Times New Roman" w:cs="Times New Roman"/>
          <w:sz w:val="24"/>
          <w:szCs w:val="24"/>
          <w:highlight w:val="yellow"/>
        </w:rPr>
        <w:t>[Update this bullet to be applicable]</w:t>
      </w:r>
    </w:p>
    <w:p w14:paraId="000000D7" w14:textId="77777777" w:rsidR="00E67F5D" w:rsidRPr="00320CF2" w:rsidRDefault="00E67F5D">
      <w:pPr>
        <w:spacing w:before="120" w:after="120" w:line="240" w:lineRule="auto"/>
        <w:ind w:left="720"/>
        <w:jc w:val="both"/>
        <w:rPr>
          <w:rFonts w:ascii="Times New Roman" w:eastAsia="Times New Roman" w:hAnsi="Times New Roman" w:cs="Times New Roman"/>
          <w:sz w:val="24"/>
          <w:szCs w:val="24"/>
        </w:rPr>
      </w:pPr>
    </w:p>
    <w:p w14:paraId="000000D8"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highlight w:val="yellow"/>
        </w:rPr>
        <w:t>Signature and date: …</w:t>
      </w:r>
    </w:p>
    <w:p w14:paraId="000000D9"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Role (controller/processor): Controller</w:t>
      </w:r>
    </w:p>
    <w:p w14:paraId="000000DA"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0DB" w14:textId="5C0029BF" w:rsidR="00E67F5D" w:rsidRPr="00320CF2" w:rsidRDefault="00000000">
      <w:pPr>
        <w:spacing w:before="120" w:after="120" w:line="240" w:lineRule="auto"/>
        <w:jc w:val="both"/>
        <w:rPr>
          <w:rFonts w:ascii="Times New Roman" w:eastAsia="Times New Roman" w:hAnsi="Times New Roman" w:cs="Times New Roman"/>
          <w:i/>
          <w:sz w:val="24"/>
          <w:szCs w:val="24"/>
          <w:shd w:val="clear" w:color="auto" w:fill="FF9900"/>
        </w:rPr>
      </w:pPr>
      <w:r w:rsidRPr="00320CF2">
        <w:rPr>
          <w:rFonts w:ascii="Times New Roman" w:eastAsia="Times New Roman" w:hAnsi="Times New Roman" w:cs="Times New Roman"/>
          <w:b/>
          <w:sz w:val="24"/>
          <w:szCs w:val="24"/>
        </w:rPr>
        <w:t xml:space="preserve">Data importer(s): </w:t>
      </w:r>
    </w:p>
    <w:p w14:paraId="000000DC" w14:textId="66A4EC11" w:rsidR="00E67F5D" w:rsidRPr="00320CF2" w:rsidRDefault="00000000">
      <w:pPr>
        <w:spacing w:before="120" w:after="120" w:line="240" w:lineRule="auto"/>
        <w:jc w:val="both"/>
        <w:rPr>
          <w:rFonts w:ascii="Times New Roman" w:eastAsia="Times New Roman" w:hAnsi="Times New Roman" w:cs="Times New Roman"/>
          <w:sz w:val="24"/>
          <w:szCs w:val="24"/>
          <w:highlight w:val="yellow"/>
          <w:shd w:val="clear" w:color="auto" w:fill="FF9900"/>
        </w:rPr>
      </w:pPr>
      <w:r w:rsidRPr="00320CF2">
        <w:rPr>
          <w:rFonts w:ascii="Times New Roman" w:eastAsia="Times New Roman" w:hAnsi="Times New Roman" w:cs="Times New Roman"/>
          <w:sz w:val="24"/>
          <w:szCs w:val="24"/>
          <w:highlight w:val="yellow"/>
        </w:rPr>
        <w:t>1.Name</w:t>
      </w:r>
      <w:r w:rsidR="00320CF2" w:rsidRPr="00320CF2">
        <w:rPr>
          <w:rFonts w:ascii="Times New Roman" w:eastAsia="Times New Roman" w:hAnsi="Times New Roman" w:cs="Times New Roman"/>
          <w:sz w:val="24"/>
          <w:szCs w:val="24"/>
          <w:highlight w:val="yellow"/>
        </w:rPr>
        <w:t xml:space="preserve"> Service Provider</w:t>
      </w:r>
      <w:r w:rsidRPr="00320CF2">
        <w:rPr>
          <w:rFonts w:ascii="Times New Roman" w:eastAsia="Times New Roman" w:hAnsi="Times New Roman" w:cs="Times New Roman"/>
          <w:sz w:val="24"/>
          <w:szCs w:val="24"/>
          <w:highlight w:val="yellow"/>
        </w:rPr>
        <w:t>:</w:t>
      </w:r>
      <w:r w:rsidRPr="00320CF2">
        <w:rPr>
          <w:rFonts w:ascii="Times New Roman" w:eastAsia="Times New Roman" w:hAnsi="Times New Roman" w:cs="Times New Roman"/>
          <w:sz w:val="24"/>
          <w:szCs w:val="24"/>
          <w:highlight w:val="yellow"/>
          <w:shd w:val="clear" w:color="auto" w:fill="FF9900"/>
        </w:rPr>
        <w:t xml:space="preserve"> </w:t>
      </w:r>
    </w:p>
    <w:p w14:paraId="000000DD" w14:textId="6A33F758" w:rsidR="00E67F5D" w:rsidRPr="00320CF2" w:rsidRDefault="00000000">
      <w:pPr>
        <w:spacing w:before="120" w:after="120" w:line="240" w:lineRule="auto"/>
        <w:jc w:val="both"/>
        <w:rPr>
          <w:rFonts w:ascii="Times New Roman" w:eastAsia="Times New Roman" w:hAnsi="Times New Roman" w:cs="Times New Roman"/>
          <w:sz w:val="24"/>
          <w:szCs w:val="24"/>
          <w:highlight w:val="yellow"/>
          <w:shd w:val="clear" w:color="auto" w:fill="FF9900"/>
        </w:rPr>
      </w:pPr>
      <w:r w:rsidRPr="00320CF2">
        <w:rPr>
          <w:rFonts w:ascii="Times New Roman" w:eastAsia="Times New Roman" w:hAnsi="Times New Roman" w:cs="Times New Roman"/>
          <w:sz w:val="24"/>
          <w:szCs w:val="24"/>
          <w:highlight w:val="yellow"/>
        </w:rPr>
        <w:t>Address:</w:t>
      </w:r>
      <w:r w:rsidRPr="00320CF2">
        <w:rPr>
          <w:rFonts w:ascii="Times New Roman" w:eastAsia="Times New Roman" w:hAnsi="Times New Roman" w:cs="Times New Roman"/>
          <w:sz w:val="24"/>
          <w:szCs w:val="24"/>
          <w:highlight w:val="yellow"/>
          <w:shd w:val="clear" w:color="auto" w:fill="FF9900"/>
        </w:rPr>
        <w:t xml:space="preserve"> </w:t>
      </w:r>
    </w:p>
    <w:p w14:paraId="000000DE" w14:textId="77777777" w:rsidR="00E67F5D" w:rsidRPr="00320CF2" w:rsidRDefault="00000000">
      <w:pPr>
        <w:spacing w:before="120" w:after="12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highlight w:val="yellow"/>
        </w:rPr>
        <w:t>Contact person’s name, position and contact details: …</w:t>
      </w:r>
    </w:p>
    <w:p w14:paraId="000000DF" w14:textId="77777777" w:rsidR="00E67F5D" w:rsidRPr="00320CF2" w:rsidRDefault="00000000">
      <w:pPr>
        <w:spacing w:before="120" w:after="12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rPr>
        <w:t>Activities relevant to the data transferred under these Clauses:</w:t>
      </w:r>
      <w:r w:rsidRPr="00320CF2">
        <w:rPr>
          <w:rFonts w:ascii="Times New Roman" w:eastAsia="Times New Roman" w:hAnsi="Times New Roman" w:cs="Times New Roman"/>
          <w:sz w:val="24"/>
          <w:szCs w:val="24"/>
          <w:shd w:val="clear" w:color="auto" w:fill="FF9900"/>
        </w:rPr>
        <w:t xml:space="preserve"> </w:t>
      </w:r>
    </w:p>
    <w:p w14:paraId="000000E0" w14:textId="6DBEE496" w:rsidR="00E67F5D" w:rsidRPr="00320CF2" w:rsidRDefault="00B42D53">
      <w:pPr>
        <w:numPr>
          <w:ilvl w:val="0"/>
          <w:numId w:val="21"/>
        </w:numPr>
        <w:spacing w:before="120" w:after="120" w:line="240" w:lineRule="auto"/>
        <w:jc w:val="both"/>
        <w:rPr>
          <w:rFonts w:ascii="Times New Roman" w:eastAsia="Times New Roman" w:hAnsi="Times New Roman" w:cs="Times New Roman"/>
          <w:sz w:val="24"/>
          <w:szCs w:val="24"/>
          <w:shd w:val="clear" w:color="auto" w:fill="FF9900"/>
        </w:rPr>
      </w:pPr>
      <w:r>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is a participant and user of smart mobility services from the Mobilidata portfolio.</w:t>
      </w:r>
    </w:p>
    <w:p w14:paraId="000000E1" w14:textId="27659AAF" w:rsidR="00E67F5D" w:rsidRPr="00320CF2" w:rsidRDefault="00B42D53">
      <w:pPr>
        <w:numPr>
          <w:ilvl w:val="0"/>
          <w:numId w:val="21"/>
        </w:numPr>
        <w:spacing w:before="120" w:after="120" w:line="240" w:lineRule="auto"/>
        <w:jc w:val="both"/>
        <w:rPr>
          <w:rFonts w:ascii="Times New Roman" w:eastAsia="Times New Roman" w:hAnsi="Times New Roman" w:cs="Times New Roman"/>
          <w:sz w:val="24"/>
          <w:szCs w:val="24"/>
          <w:shd w:val="clear" w:color="auto" w:fill="FF9900"/>
        </w:rPr>
      </w:pPr>
      <w:r>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has the right to use the access to data and other services provided by AWV, strictly limited to the realization of the Purpose and the agreed Use Cases for the duration of the Main Agreement. The Parties collaborate with the aim of providing innovative technological traffic solutions to road users by sharing real-time and/or near-time relevant data via the Mobilidata Interchange. This collaboration is focused on improving road safety, traffic flow, and sustainability (Art. 2 Main Agreement).</w:t>
      </w:r>
    </w:p>
    <w:p w14:paraId="000000E3" w14:textId="77777777" w:rsidR="00E67F5D" w:rsidRPr="00320CF2" w:rsidRDefault="00000000">
      <w:pPr>
        <w:numPr>
          <w:ilvl w:val="0"/>
          <w:numId w:val="21"/>
        </w:numPr>
        <w:spacing w:before="120" w:after="12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rPr>
        <w:t>The data exchange takes place within the framework of the agreed use cases, which are explicitly described and formulated by AWV in Annex 1 to the Main Agreement.</w:t>
      </w:r>
    </w:p>
    <w:p w14:paraId="000000E4" w14:textId="6CDD6416" w:rsidR="00E67F5D" w:rsidRPr="00320CF2" w:rsidRDefault="00000000">
      <w:pPr>
        <w:numPr>
          <w:ilvl w:val="0"/>
          <w:numId w:val="21"/>
        </w:numPr>
        <w:spacing w:before="120" w:after="12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rPr>
        <w:t xml:space="preserve">When </w:t>
      </w:r>
      <w:r w:rsidR="00B42D53">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passes on the data to a third party, the same obligations and conditions imposed on </w:t>
      </w:r>
      <w:r w:rsidR="00B42D53">
        <w:rPr>
          <w:rFonts w:ascii="Times New Roman" w:eastAsia="Times New Roman" w:hAnsi="Times New Roman" w:cs="Times New Roman"/>
          <w:sz w:val="24"/>
          <w:szCs w:val="24"/>
        </w:rPr>
        <w:t>Service Provider</w:t>
      </w:r>
      <w:r w:rsidRPr="00320CF2">
        <w:rPr>
          <w:rFonts w:ascii="Times New Roman" w:eastAsia="Times New Roman" w:hAnsi="Times New Roman" w:cs="Times New Roman"/>
          <w:sz w:val="24"/>
          <w:szCs w:val="24"/>
        </w:rPr>
        <w:t xml:space="preserve"> under this Agreement shall be imposed on the third party through an agreement or other legal instrument pursuant to EU or national law (Art. 9.2. </w:t>
      </w:r>
      <w:proofErr w:type="spellStart"/>
      <w:r w:rsidRPr="00320CF2">
        <w:rPr>
          <w:rFonts w:ascii="Times New Roman" w:eastAsia="Times New Roman" w:hAnsi="Times New Roman" w:cs="Times New Roman"/>
          <w:sz w:val="24"/>
          <w:szCs w:val="24"/>
        </w:rPr>
        <w:t>Hoofdovereenkomst</w:t>
      </w:r>
      <w:proofErr w:type="spellEnd"/>
      <w:r w:rsidRPr="00320CF2">
        <w:rPr>
          <w:rFonts w:ascii="Times New Roman" w:eastAsia="Times New Roman" w:hAnsi="Times New Roman" w:cs="Times New Roman"/>
          <w:sz w:val="24"/>
          <w:szCs w:val="24"/>
        </w:rPr>
        <w:t>).</w:t>
      </w:r>
      <w:r w:rsidRPr="00320CF2">
        <w:rPr>
          <w:rFonts w:ascii="Times New Roman" w:eastAsia="Times New Roman" w:hAnsi="Times New Roman" w:cs="Times New Roman"/>
          <w:sz w:val="24"/>
          <w:szCs w:val="24"/>
          <w:shd w:val="clear" w:color="auto" w:fill="FF9900"/>
        </w:rPr>
        <w:t xml:space="preserve"> </w:t>
      </w:r>
    </w:p>
    <w:p w14:paraId="000000E6"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highlight w:val="yellow"/>
        </w:rPr>
        <w:t>Signature and date: …</w:t>
      </w:r>
    </w:p>
    <w:p w14:paraId="000000E7"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sidRPr="00320CF2">
        <w:rPr>
          <w:rFonts w:ascii="Times New Roman" w:eastAsia="Times New Roman" w:hAnsi="Times New Roman" w:cs="Times New Roman"/>
          <w:sz w:val="24"/>
          <w:szCs w:val="24"/>
        </w:rPr>
        <w:t>Role (controller/processor): Controller</w:t>
      </w:r>
    </w:p>
    <w:p w14:paraId="000000E8"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0E9" w14:textId="77777777" w:rsidR="00E67F5D" w:rsidRDefault="00000000">
      <w:pPr>
        <w:spacing w:before="240" w:after="120" w:line="240" w:lineRule="auto"/>
        <w:ind w:left="851"/>
        <w:jc w:val="both"/>
        <w:rPr>
          <w:rFonts w:ascii="Times New Roman" w:eastAsia="Times New Roman" w:hAnsi="Times New Roman" w:cs="Times New Roman"/>
          <w:b/>
          <w:sz w:val="24"/>
          <w:szCs w:val="24"/>
          <w:highlight w:val="lightGray"/>
        </w:rPr>
      </w:pPr>
      <w:bookmarkStart w:id="1" w:name="_heading=h.8fx2x4lp375h" w:colFirst="0" w:colLast="0"/>
      <w:bookmarkEnd w:id="1"/>
      <w:r>
        <w:rPr>
          <w:rFonts w:ascii="Times New Roman" w:eastAsia="Times New Roman" w:hAnsi="Times New Roman" w:cs="Times New Roman"/>
          <w:b/>
          <w:sz w:val="24"/>
          <w:szCs w:val="24"/>
        </w:rPr>
        <w:t>B. DESCRIPTION OF TRANSFER</w:t>
      </w:r>
    </w:p>
    <w:p w14:paraId="000000EA"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Categories of data subjects whose personal data is transferred</w:t>
      </w:r>
    </w:p>
    <w:p w14:paraId="000000EB" w14:textId="77777777" w:rsidR="00E67F5D" w:rsidRPr="00320CF2" w:rsidRDefault="00000000">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Drivers of emergency service vehicles in Flanders, Belgium and border areas of Flanders</w:t>
      </w:r>
    </w:p>
    <w:p w14:paraId="000000EC" w14:textId="77777777" w:rsidR="00E67F5D" w:rsidRPr="00320CF2" w:rsidRDefault="00000000">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Drivers of impact protection vehicles, service or construction vehicles in Flanders, Belgium and border areas of Flanders</w:t>
      </w:r>
    </w:p>
    <w:p w14:paraId="48786BAE" w14:textId="297D5C3D" w:rsidR="00320CF2" w:rsidRPr="00320CF2" w:rsidRDefault="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00000ED" w14:textId="77777777" w:rsidR="00E67F5D" w:rsidRPr="00320CF2" w:rsidRDefault="00E67F5D">
      <w:pPr>
        <w:spacing w:before="120" w:after="120" w:line="240" w:lineRule="auto"/>
        <w:jc w:val="both"/>
        <w:rPr>
          <w:rFonts w:ascii="Times New Roman" w:eastAsia="Times New Roman" w:hAnsi="Times New Roman" w:cs="Times New Roman"/>
          <w:iCs/>
          <w:sz w:val="24"/>
          <w:szCs w:val="24"/>
        </w:rPr>
      </w:pPr>
    </w:p>
    <w:p w14:paraId="000000EE"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lastRenderedPageBreak/>
        <w:t>Categories of personal data transferred</w:t>
      </w:r>
    </w:p>
    <w:p w14:paraId="000000EF" w14:textId="77777777" w:rsidR="00E67F5D" w:rsidRPr="00320CF2" w:rsidRDefault="00000000">
      <w:pPr>
        <w:numPr>
          <w:ilvl w:val="0"/>
          <w:numId w:val="22"/>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Pseudonym ID</w:t>
      </w:r>
    </w:p>
    <w:p w14:paraId="000000F0" w14:textId="77777777" w:rsidR="00E67F5D" w:rsidRPr="00320CF2" w:rsidRDefault="00000000">
      <w:pPr>
        <w:numPr>
          <w:ilvl w:val="0"/>
          <w:numId w:val="22"/>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Real-time location data of priority vehicles and (if known) type of priority vehicle</w:t>
      </w:r>
    </w:p>
    <w:p w14:paraId="000000F1" w14:textId="77777777" w:rsidR="00E67F5D" w:rsidRPr="00320CF2" w:rsidRDefault="00000000">
      <w:pPr>
        <w:numPr>
          <w:ilvl w:val="0"/>
          <w:numId w:val="22"/>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Real-time location data of impact protection vehicles, service or construction vehicles during interventions or road works and type of vehicle</w:t>
      </w:r>
    </w:p>
    <w:p w14:paraId="3D81CED3" w14:textId="6A109F52" w:rsidR="00320CF2" w:rsidRPr="00320CF2" w:rsidRDefault="00320CF2" w:rsidP="00320CF2">
      <w:pPr>
        <w:numPr>
          <w:ilvl w:val="0"/>
          <w:numId w:val="22"/>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00000F2" w14:textId="77777777" w:rsidR="00E67F5D" w:rsidRPr="00320CF2" w:rsidRDefault="00E67F5D">
      <w:pPr>
        <w:spacing w:before="120" w:after="120" w:line="240" w:lineRule="auto"/>
        <w:ind w:left="720"/>
        <w:jc w:val="both"/>
        <w:rPr>
          <w:rFonts w:ascii="Times New Roman" w:eastAsia="Times New Roman" w:hAnsi="Times New Roman" w:cs="Times New Roman"/>
          <w:iCs/>
          <w:sz w:val="24"/>
          <w:szCs w:val="24"/>
        </w:rPr>
      </w:pPr>
    </w:p>
    <w:p w14:paraId="000000F3"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Sensitive data transferred (if applicable) and applied restrictions or safeguards that fully take into consideration the nature of the data and the risks involved, such as for instance strict purpose limitation, access restrictions (including access only for staff having followed specialised training), keeping a record of access to the data, restrictions for onward transfers or additional security measures.</w:t>
      </w:r>
    </w:p>
    <w:p w14:paraId="1ABCE9DA"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2F431979" w14:textId="77777777" w:rsidR="00320CF2" w:rsidRDefault="00320CF2">
      <w:pPr>
        <w:spacing w:before="120" w:after="120" w:line="240" w:lineRule="auto"/>
        <w:jc w:val="both"/>
        <w:rPr>
          <w:rFonts w:ascii="Times New Roman" w:eastAsia="Times New Roman" w:hAnsi="Times New Roman" w:cs="Times New Roman"/>
          <w:iCs/>
          <w:sz w:val="24"/>
          <w:szCs w:val="24"/>
        </w:rPr>
      </w:pPr>
    </w:p>
    <w:p w14:paraId="000000F5" w14:textId="5760950E"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The frequency of the transfer (e.g. whether the data is transferred on a one-off or continuous basis).</w:t>
      </w:r>
    </w:p>
    <w:p w14:paraId="3C34F333"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F6C06BE" w14:textId="77777777" w:rsidR="00320CF2" w:rsidRDefault="00320CF2">
      <w:pPr>
        <w:spacing w:before="120" w:after="120" w:line="240" w:lineRule="auto"/>
        <w:jc w:val="both"/>
        <w:rPr>
          <w:rFonts w:ascii="Times New Roman" w:eastAsia="Times New Roman" w:hAnsi="Times New Roman" w:cs="Times New Roman"/>
          <w:iCs/>
          <w:sz w:val="24"/>
          <w:szCs w:val="24"/>
        </w:rPr>
      </w:pPr>
    </w:p>
    <w:p w14:paraId="000000F7" w14:textId="60E6C04C"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Nature of the processing</w:t>
      </w:r>
    </w:p>
    <w:p w14:paraId="000000F8" w14:textId="77777777" w:rsidR="00E67F5D" w:rsidRPr="00320CF2" w:rsidRDefault="00000000"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Collection, transmission, receipt, storage, aggregation, and archiving of traffic information related to specific road users</w:t>
      </w:r>
    </w:p>
    <w:p w14:paraId="640ADFFD"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6DA4BD9B" w14:textId="77777777" w:rsidR="00320CF2" w:rsidRPr="00320CF2" w:rsidRDefault="00320CF2">
      <w:pPr>
        <w:spacing w:before="120" w:after="120" w:line="240" w:lineRule="auto"/>
        <w:jc w:val="both"/>
        <w:rPr>
          <w:rFonts w:ascii="Times New Roman" w:eastAsia="Times New Roman" w:hAnsi="Times New Roman" w:cs="Times New Roman"/>
          <w:iCs/>
          <w:sz w:val="24"/>
          <w:szCs w:val="24"/>
        </w:rPr>
      </w:pPr>
    </w:p>
    <w:p w14:paraId="000000F9"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Purpose(s) of the data transfer and further processing</w:t>
      </w:r>
    </w:p>
    <w:p w14:paraId="000000FA" w14:textId="41B3D6EC"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 xml:space="preserve">The intended data processing by </w:t>
      </w:r>
      <w:r w:rsidR="00320CF2">
        <w:rPr>
          <w:rFonts w:ascii="Times New Roman" w:eastAsia="Times New Roman" w:hAnsi="Times New Roman" w:cs="Times New Roman"/>
          <w:iCs/>
          <w:sz w:val="24"/>
          <w:szCs w:val="24"/>
        </w:rPr>
        <w:t>Service Provider</w:t>
      </w:r>
      <w:r w:rsidRPr="00320CF2">
        <w:rPr>
          <w:rFonts w:ascii="Times New Roman" w:eastAsia="Times New Roman" w:hAnsi="Times New Roman" w:cs="Times New Roman"/>
          <w:iCs/>
          <w:sz w:val="24"/>
          <w:szCs w:val="24"/>
        </w:rPr>
        <w:t xml:space="preserve"> is carried out on the basis of</w:t>
      </w:r>
    </w:p>
    <w:p w14:paraId="000000FB" w14:textId="03CB57AF" w:rsidR="00E67F5D" w:rsidRPr="00320CF2" w:rsidRDefault="00000000">
      <w:pPr>
        <w:numPr>
          <w:ilvl w:val="0"/>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rPr>
        <w:t xml:space="preserve">Article 6.1.f, legitimate interest, to increase the safety of the road users connected to </w:t>
      </w:r>
      <w:r w:rsidR="00B42D53">
        <w:rPr>
          <w:rFonts w:ascii="Times New Roman" w:eastAsia="Times New Roman" w:hAnsi="Times New Roman" w:cs="Times New Roman"/>
          <w:iCs/>
          <w:sz w:val="24"/>
          <w:szCs w:val="24"/>
          <w:highlight w:val="yellow"/>
        </w:rPr>
        <w:t>Service Provider</w:t>
      </w:r>
      <w:r w:rsidRPr="00320CF2">
        <w:rPr>
          <w:rFonts w:ascii="Times New Roman" w:eastAsia="Times New Roman" w:hAnsi="Times New Roman" w:cs="Times New Roman"/>
          <w:iCs/>
          <w:sz w:val="24"/>
          <w:szCs w:val="24"/>
          <w:highlight w:val="yellow"/>
        </w:rPr>
        <w:t xml:space="preserve"> (and partners).</w:t>
      </w:r>
    </w:p>
    <w:p w14:paraId="47A1670A" w14:textId="77777777" w:rsidR="00320CF2" w:rsidRPr="00320CF2" w:rsidRDefault="00320CF2" w:rsidP="00320CF2">
      <w:pPr>
        <w:numPr>
          <w:ilvl w:val="0"/>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351A28F1" w14:textId="77777777" w:rsidR="00320CF2" w:rsidRPr="00320CF2" w:rsidRDefault="00320CF2" w:rsidP="00320CF2">
      <w:pPr>
        <w:spacing w:before="120" w:after="120" w:line="240" w:lineRule="auto"/>
        <w:ind w:left="720"/>
        <w:jc w:val="both"/>
        <w:rPr>
          <w:rFonts w:ascii="Times New Roman" w:eastAsia="Times New Roman" w:hAnsi="Times New Roman" w:cs="Times New Roman"/>
          <w:iCs/>
          <w:sz w:val="24"/>
          <w:szCs w:val="24"/>
        </w:rPr>
      </w:pPr>
    </w:p>
    <w:p w14:paraId="000000FC"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AWV originally collected the requested data for the following purposes:</w:t>
      </w:r>
    </w:p>
    <w:p w14:paraId="000000FD" w14:textId="77777777" w:rsidR="00E67F5D" w:rsidRPr="00320CF2" w:rsidRDefault="00000000">
      <w:pPr>
        <w:numPr>
          <w:ilvl w:val="0"/>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providing and improving traffic information services to all road users, to warn road users of:</w:t>
      </w:r>
    </w:p>
    <w:p w14:paraId="000000FE" w14:textId="77777777" w:rsidR="00E67F5D" w:rsidRPr="00320CF2" w:rsidRDefault="00000000">
      <w:pPr>
        <w:numPr>
          <w:ilvl w:val="1"/>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stationary or approaching emergency services</w:t>
      </w:r>
    </w:p>
    <w:p w14:paraId="000000FF" w14:textId="77777777" w:rsidR="00E67F5D" w:rsidRDefault="00000000">
      <w:pPr>
        <w:numPr>
          <w:ilvl w:val="1"/>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impact protection vehicles, service or construction vehicles during interventions or road works</w:t>
      </w:r>
    </w:p>
    <w:p w14:paraId="3CD639D5" w14:textId="77777777" w:rsidR="00320CF2" w:rsidRPr="00320CF2" w:rsidRDefault="00320CF2" w:rsidP="00320CF2">
      <w:pPr>
        <w:numPr>
          <w:ilvl w:val="0"/>
          <w:numId w:val="19"/>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221FE663" w14:textId="77777777" w:rsidR="00320CF2" w:rsidRPr="00320CF2" w:rsidRDefault="00320CF2" w:rsidP="00320CF2">
      <w:pPr>
        <w:spacing w:before="120" w:after="120" w:line="240" w:lineRule="auto"/>
        <w:jc w:val="both"/>
        <w:rPr>
          <w:rFonts w:ascii="Times New Roman" w:eastAsia="Times New Roman" w:hAnsi="Times New Roman" w:cs="Times New Roman"/>
          <w:iCs/>
          <w:sz w:val="24"/>
          <w:szCs w:val="24"/>
          <w:highlight w:val="yellow"/>
        </w:rPr>
      </w:pPr>
    </w:p>
    <w:p w14:paraId="00000100" w14:textId="75BC133A"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 xml:space="preserve">In this specific case the data is processed by </w:t>
      </w:r>
      <w:r w:rsidR="00320CF2">
        <w:rPr>
          <w:rFonts w:ascii="Times New Roman" w:eastAsia="Times New Roman" w:hAnsi="Times New Roman" w:cs="Times New Roman"/>
          <w:iCs/>
          <w:sz w:val="24"/>
          <w:szCs w:val="24"/>
        </w:rPr>
        <w:t>Service Provider</w:t>
      </w:r>
      <w:r w:rsidRPr="00320CF2">
        <w:rPr>
          <w:rFonts w:ascii="Times New Roman" w:eastAsia="Times New Roman" w:hAnsi="Times New Roman" w:cs="Times New Roman"/>
          <w:iCs/>
          <w:sz w:val="24"/>
          <w:szCs w:val="24"/>
        </w:rPr>
        <w:t xml:space="preserve"> for the following reason:</w:t>
      </w:r>
    </w:p>
    <w:p w14:paraId="00000101" w14:textId="77777777" w:rsidR="00E67F5D" w:rsidRPr="00320CF2" w:rsidRDefault="00000000">
      <w:p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lastRenderedPageBreak/>
        <w:t>Increasing road safety and faster emergency services by providing and improving traffic information services to all road users, to warn road users of:</w:t>
      </w:r>
    </w:p>
    <w:p w14:paraId="00000102" w14:textId="77777777" w:rsidR="00E67F5D" w:rsidRPr="00320CF2" w:rsidRDefault="00000000">
      <w:pPr>
        <w:numPr>
          <w:ilvl w:val="0"/>
          <w:numId w:val="1"/>
        </w:numPr>
        <w:spacing w:before="120" w:after="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stationary or approaching emergency services</w:t>
      </w:r>
    </w:p>
    <w:p w14:paraId="00000103" w14:textId="77777777" w:rsidR="00E67F5D" w:rsidRDefault="00000000">
      <w:pPr>
        <w:numPr>
          <w:ilvl w:val="0"/>
          <w:numId w:val="1"/>
        </w:numPr>
        <w:spacing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impact protection vehicles, service or construction vehicles during interventions or road works</w:t>
      </w:r>
    </w:p>
    <w:p w14:paraId="5E2D5050" w14:textId="38778E2E" w:rsidR="00320CF2" w:rsidRPr="00320CF2" w:rsidRDefault="00320CF2" w:rsidP="00320CF2">
      <w:pPr>
        <w:pStyle w:val="ListBullet"/>
        <w:rPr>
          <w:highlight w:val="yellow"/>
        </w:rPr>
      </w:pPr>
      <w:r w:rsidRPr="00320CF2">
        <w:rPr>
          <w:highlight w:val="yellow"/>
        </w:rPr>
        <w:t>… [In this paragraph fill in the applicable content]</w:t>
      </w:r>
    </w:p>
    <w:p w14:paraId="00000104" w14:textId="77777777" w:rsidR="00E67F5D" w:rsidRPr="00320CF2" w:rsidRDefault="00E67F5D">
      <w:pPr>
        <w:spacing w:before="120" w:after="120" w:line="240" w:lineRule="auto"/>
        <w:jc w:val="both"/>
        <w:rPr>
          <w:rFonts w:ascii="Times New Roman" w:eastAsia="Times New Roman" w:hAnsi="Times New Roman" w:cs="Times New Roman"/>
          <w:iCs/>
          <w:sz w:val="24"/>
          <w:szCs w:val="24"/>
        </w:rPr>
      </w:pPr>
    </w:p>
    <w:p w14:paraId="00000105"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 xml:space="preserve">The period for which the personal data will be retained, or, if that is not possible, the criteria used to determine that period </w:t>
      </w:r>
    </w:p>
    <w:p w14:paraId="07C389BA"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0000107" w14:textId="77777777" w:rsidR="00E67F5D" w:rsidRPr="00320CF2" w:rsidRDefault="00E67F5D">
      <w:pPr>
        <w:spacing w:before="120" w:after="120" w:line="240" w:lineRule="auto"/>
        <w:jc w:val="both"/>
        <w:rPr>
          <w:rFonts w:ascii="Times New Roman" w:eastAsia="Times New Roman" w:hAnsi="Times New Roman" w:cs="Times New Roman"/>
          <w:iCs/>
          <w:sz w:val="24"/>
          <w:szCs w:val="24"/>
        </w:rPr>
      </w:pPr>
    </w:p>
    <w:p w14:paraId="00000108" w14:textId="77777777" w:rsidR="00E67F5D" w:rsidRPr="00320CF2" w:rsidRDefault="00000000">
      <w:pPr>
        <w:spacing w:before="120" w:after="120" w:line="240" w:lineRule="auto"/>
        <w:jc w:val="both"/>
        <w:rPr>
          <w:rFonts w:ascii="Times New Roman" w:eastAsia="Times New Roman" w:hAnsi="Times New Roman" w:cs="Times New Roman"/>
          <w:iCs/>
          <w:sz w:val="24"/>
          <w:szCs w:val="24"/>
        </w:rPr>
      </w:pPr>
      <w:r w:rsidRPr="00320CF2">
        <w:rPr>
          <w:rFonts w:ascii="Times New Roman" w:eastAsia="Times New Roman" w:hAnsi="Times New Roman" w:cs="Times New Roman"/>
          <w:iCs/>
          <w:sz w:val="24"/>
          <w:szCs w:val="24"/>
        </w:rPr>
        <w:t>For transfers to (sub-) processors, also specify subject matter, nature and duration of the processing</w:t>
      </w:r>
    </w:p>
    <w:p w14:paraId="73E3AE98" w14:textId="77777777" w:rsidR="00320CF2" w:rsidRPr="00320CF2" w:rsidRDefault="00320CF2" w:rsidP="00320CF2">
      <w:pPr>
        <w:numPr>
          <w:ilvl w:val="0"/>
          <w:numId w:val="23"/>
        </w:numPr>
        <w:spacing w:before="120" w:after="120" w:line="240" w:lineRule="auto"/>
        <w:jc w:val="both"/>
        <w:rPr>
          <w:rFonts w:ascii="Times New Roman" w:eastAsia="Times New Roman" w:hAnsi="Times New Roman" w:cs="Times New Roman"/>
          <w:iCs/>
          <w:sz w:val="24"/>
          <w:szCs w:val="24"/>
          <w:highlight w:val="yellow"/>
        </w:rPr>
      </w:pPr>
      <w:r w:rsidRPr="00320CF2">
        <w:rPr>
          <w:rFonts w:ascii="Times New Roman" w:eastAsia="Times New Roman" w:hAnsi="Times New Roman" w:cs="Times New Roman"/>
          <w:iCs/>
          <w:sz w:val="24"/>
          <w:szCs w:val="24"/>
          <w:highlight w:val="yellow"/>
        </w:rPr>
        <w:t>… [In this paragraph fill in the applicable content]</w:t>
      </w:r>
    </w:p>
    <w:p w14:paraId="0000010A" w14:textId="77777777" w:rsidR="00E67F5D" w:rsidRPr="00320CF2" w:rsidRDefault="00E67F5D">
      <w:pPr>
        <w:spacing w:before="120" w:after="120" w:line="240" w:lineRule="auto"/>
        <w:jc w:val="both"/>
        <w:rPr>
          <w:rFonts w:ascii="Times New Roman" w:eastAsia="Times New Roman" w:hAnsi="Times New Roman" w:cs="Times New Roman"/>
          <w:iCs/>
          <w:sz w:val="24"/>
          <w:szCs w:val="24"/>
        </w:rPr>
      </w:pPr>
    </w:p>
    <w:p w14:paraId="0000010B" w14:textId="77777777" w:rsidR="00E67F5D" w:rsidRPr="00320CF2" w:rsidRDefault="00000000">
      <w:pPr>
        <w:rPr>
          <w:rFonts w:ascii="Times New Roman" w:eastAsia="Times New Roman" w:hAnsi="Times New Roman" w:cs="Times New Roman"/>
          <w:b/>
          <w:iCs/>
          <w:sz w:val="24"/>
          <w:szCs w:val="24"/>
        </w:rPr>
      </w:pPr>
      <w:r w:rsidRPr="00320CF2">
        <w:rPr>
          <w:iCs/>
        </w:rPr>
        <w:br w:type="page"/>
      </w:r>
    </w:p>
    <w:p w14:paraId="0000010C" w14:textId="77777777" w:rsidR="00E67F5D" w:rsidRDefault="00000000">
      <w:pPr>
        <w:spacing w:before="120" w:after="120" w:line="240" w:lineRule="auto"/>
        <w:ind w:left="85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C. COMPETENT SUPERVISORY AUTHORITY</w:t>
      </w:r>
    </w:p>
    <w:p w14:paraId="0000010D" w14:textId="77777777" w:rsidR="00E67F5D" w:rsidRDefault="00E67F5D">
      <w:pPr>
        <w:spacing w:before="120" w:after="120" w:line="240" w:lineRule="auto"/>
        <w:ind w:left="850" w:hanging="850"/>
        <w:jc w:val="both"/>
        <w:rPr>
          <w:rFonts w:ascii="Times New Roman" w:eastAsia="Times New Roman" w:hAnsi="Times New Roman" w:cs="Times New Roman"/>
          <w:i/>
          <w:sz w:val="24"/>
          <w:szCs w:val="24"/>
        </w:rPr>
      </w:pPr>
    </w:p>
    <w:p w14:paraId="0000010E" w14:textId="77777777" w:rsidR="00E67F5D" w:rsidRDefault="00000000">
      <w:pPr>
        <w:spacing w:before="120" w:after="12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Identify the competent supervisory authority/</w:t>
      </w:r>
      <w:proofErr w:type="spellStart"/>
      <w:r>
        <w:rPr>
          <w:rFonts w:ascii="Times New Roman" w:eastAsia="Times New Roman" w:hAnsi="Times New Roman" w:cs="Times New Roman"/>
          <w:i/>
          <w:sz w:val="24"/>
          <w:szCs w:val="24"/>
        </w:rPr>
        <w:t>ies</w:t>
      </w:r>
      <w:proofErr w:type="spellEnd"/>
      <w:r>
        <w:rPr>
          <w:rFonts w:ascii="Times New Roman" w:eastAsia="Times New Roman" w:hAnsi="Times New Roman" w:cs="Times New Roman"/>
          <w:i/>
          <w:sz w:val="24"/>
          <w:szCs w:val="24"/>
        </w:rPr>
        <w:t xml:space="preserve"> in accordance with Clause 13</w:t>
      </w:r>
    </w:p>
    <w:p w14:paraId="0000010F" w14:textId="77777777" w:rsidR="00E67F5D" w:rsidRPr="00320CF2" w:rsidRDefault="00000000">
      <w:pPr>
        <w:spacing w:before="120" w:after="120" w:line="240" w:lineRule="auto"/>
        <w:rPr>
          <w:rFonts w:ascii="Times New Roman" w:eastAsia="Times New Roman" w:hAnsi="Times New Roman" w:cs="Times New Roman"/>
          <w:b/>
          <w:sz w:val="24"/>
          <w:szCs w:val="24"/>
          <w:lang w:val="nl-BE"/>
        </w:rPr>
      </w:pPr>
      <w:r w:rsidRPr="00320CF2">
        <w:rPr>
          <w:rFonts w:ascii="Times New Roman" w:eastAsia="Times New Roman" w:hAnsi="Times New Roman" w:cs="Times New Roman"/>
          <w:b/>
          <w:sz w:val="24"/>
          <w:szCs w:val="24"/>
          <w:lang w:val="nl-BE"/>
        </w:rPr>
        <w:t xml:space="preserve">Vlaamse Toezichtcommissie </w:t>
      </w:r>
    </w:p>
    <w:p w14:paraId="00000110" w14:textId="77777777" w:rsidR="00E67F5D" w:rsidRPr="00320CF2" w:rsidRDefault="00000000">
      <w:pPr>
        <w:spacing w:before="120" w:after="120" w:line="240" w:lineRule="auto"/>
        <w:rPr>
          <w:rFonts w:ascii="Times New Roman" w:eastAsia="Times New Roman" w:hAnsi="Times New Roman" w:cs="Times New Roman"/>
          <w:sz w:val="24"/>
          <w:szCs w:val="24"/>
          <w:lang w:val="nl-BE"/>
        </w:rPr>
      </w:pPr>
      <w:r w:rsidRPr="00320CF2">
        <w:rPr>
          <w:rFonts w:ascii="Times New Roman" w:eastAsia="Times New Roman" w:hAnsi="Times New Roman" w:cs="Times New Roman"/>
          <w:sz w:val="24"/>
          <w:szCs w:val="24"/>
          <w:lang w:val="nl-BE"/>
        </w:rPr>
        <w:t>Koning Albert II-laan 15, 1210 Brussel </w:t>
      </w:r>
    </w:p>
    <w:p w14:paraId="00000111" w14:textId="77777777" w:rsidR="00E67F5D" w:rsidRDefault="00000000">
      <w:p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+32 (0)2 553 20 85 </w:t>
      </w:r>
    </w:p>
    <w:p w14:paraId="00000112" w14:textId="77777777" w:rsidR="00E67F5D" w:rsidRDefault="00000000">
      <w:pPr>
        <w:spacing w:before="120" w:after="120" w:line="240" w:lineRule="auto"/>
        <w:rPr>
          <w:rFonts w:ascii="Times New Roman" w:eastAsia="Times New Roman" w:hAnsi="Times New Roman" w:cs="Times New Roman"/>
          <w:b/>
          <w:sz w:val="32"/>
          <w:szCs w:val="32"/>
          <w:u w:val="single"/>
        </w:rPr>
      </w:pPr>
      <w:r>
        <w:rPr>
          <w:rFonts w:ascii="Times New Roman" w:eastAsia="Times New Roman" w:hAnsi="Times New Roman" w:cs="Times New Roman"/>
          <w:sz w:val="24"/>
          <w:szCs w:val="24"/>
        </w:rPr>
        <w:t>contact@toezichtcommissie.be</w:t>
      </w:r>
      <w:r>
        <w:br w:type="page"/>
      </w:r>
    </w:p>
    <w:p w14:paraId="00000113" w14:textId="77777777" w:rsidR="00E67F5D" w:rsidRDefault="00000000">
      <w:pPr>
        <w:spacing w:before="12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ANNEX II - TECHNICAL AND ORGANISATIONAL MEASURES INCLUDING TECHNICAL AND ORGANISATIONAL MEASURES TO ENSURE THE SECURITY OF THE DATA</w:t>
      </w:r>
    </w:p>
    <w:p w14:paraId="00000114"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115" w14:textId="77777777" w:rsidR="00E67F5D"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EXPLANATORY NOTE: </w:t>
      </w:r>
    </w:p>
    <w:p w14:paraId="00000116" w14:textId="77777777" w:rsidR="00E67F5D" w:rsidRPr="00320CF2"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technical and organisational measures must be described in specific (and not generic) terms. See also the general comment on the first page of the Appendix, in particular on the need </w:t>
      </w:r>
      <w:r w:rsidRPr="00320CF2">
        <w:rPr>
          <w:rFonts w:ascii="Times New Roman" w:eastAsia="Times New Roman" w:hAnsi="Times New Roman" w:cs="Times New Roman"/>
          <w:sz w:val="24"/>
          <w:szCs w:val="24"/>
        </w:rPr>
        <w:t>to clearly indicate which measures apply to each transfer/set of transfers.</w:t>
      </w:r>
    </w:p>
    <w:p w14:paraId="00000117" w14:textId="6D789A3F" w:rsidR="00E67F5D" w:rsidRPr="00320CF2" w:rsidRDefault="00000000">
      <w:pPr>
        <w:spacing w:after="0" w:line="240" w:lineRule="auto"/>
        <w:ind w:firstLine="720"/>
        <w:jc w:val="both"/>
        <w:rPr>
          <w:rFonts w:ascii="Times New Roman" w:eastAsia="Times New Roman" w:hAnsi="Times New Roman" w:cs="Times New Roman"/>
          <w:sz w:val="24"/>
          <w:szCs w:val="24"/>
          <w:shd w:val="clear" w:color="auto" w:fill="FF9900"/>
        </w:rPr>
      </w:pPr>
      <w:proofErr w:type="spellStart"/>
      <w:r w:rsidRPr="00320CF2">
        <w:rPr>
          <w:rFonts w:ascii="Times New Roman" w:eastAsia="Times New Roman" w:hAnsi="Times New Roman" w:cs="Times New Roman"/>
          <w:sz w:val="24"/>
          <w:szCs w:val="24"/>
          <w:highlight w:val="yellow"/>
        </w:rPr>
        <w:t>Cfr</w:t>
      </w:r>
      <w:proofErr w:type="spellEnd"/>
      <w:r w:rsidRPr="00320CF2">
        <w:rPr>
          <w:rFonts w:ascii="Times New Roman" w:eastAsia="Times New Roman" w:hAnsi="Times New Roman" w:cs="Times New Roman"/>
          <w:sz w:val="24"/>
          <w:szCs w:val="24"/>
          <w:highlight w:val="yellow"/>
        </w:rPr>
        <w:t>. Annex 6 Completed Due Diligence Questionnaire</w:t>
      </w:r>
    </w:p>
    <w:p w14:paraId="00000118" w14:textId="77777777" w:rsidR="00E67F5D" w:rsidRPr="00320CF2" w:rsidRDefault="00E67F5D">
      <w:pPr>
        <w:spacing w:after="240" w:line="240" w:lineRule="auto"/>
        <w:jc w:val="both"/>
        <w:rPr>
          <w:rFonts w:ascii="Times New Roman" w:eastAsia="Times New Roman" w:hAnsi="Times New Roman" w:cs="Times New Roman"/>
          <w:b/>
          <w:sz w:val="24"/>
          <w:szCs w:val="24"/>
          <w:shd w:val="clear" w:color="auto" w:fill="FF9900"/>
        </w:rPr>
      </w:pPr>
    </w:p>
    <w:p w14:paraId="00000119" w14:textId="77777777" w:rsidR="00E67F5D" w:rsidRPr="00320CF2" w:rsidRDefault="00000000">
      <w:pPr>
        <w:spacing w:before="120" w:after="240" w:line="240" w:lineRule="auto"/>
        <w:jc w:val="both"/>
        <w:rPr>
          <w:rFonts w:ascii="Times New Roman" w:eastAsia="Times New Roman" w:hAnsi="Times New Roman" w:cs="Times New Roman"/>
          <w:sz w:val="24"/>
          <w:szCs w:val="24"/>
          <w:shd w:val="clear" w:color="auto" w:fill="FF9900"/>
        </w:rPr>
      </w:pPr>
      <w:r w:rsidRPr="00320CF2">
        <w:rPr>
          <w:rFonts w:ascii="Times New Roman" w:eastAsia="Times New Roman" w:hAnsi="Times New Roman" w:cs="Times New Roman"/>
          <w:sz w:val="24"/>
          <w:szCs w:val="24"/>
          <w:highlight w:val="yellow"/>
        </w:rPr>
        <w:t>For transfers to (sub-) processors, also describe the specific technical and organisational measures to be taken by the (sub-) processor to be able to provide assistance to the controller and, for transfers from a processor to a sub-processor, to the data exporter</w:t>
      </w:r>
    </w:p>
    <w:p w14:paraId="0000011A" w14:textId="77777777" w:rsidR="00E67F5D" w:rsidRPr="00320CF2" w:rsidRDefault="00E67F5D">
      <w:pPr>
        <w:spacing w:before="120" w:after="240" w:line="240" w:lineRule="auto"/>
        <w:jc w:val="both"/>
        <w:rPr>
          <w:rFonts w:ascii="Times New Roman" w:eastAsia="Times New Roman" w:hAnsi="Times New Roman" w:cs="Times New Roman"/>
          <w:sz w:val="24"/>
          <w:szCs w:val="24"/>
        </w:rPr>
      </w:pPr>
      <w:bookmarkStart w:id="2" w:name="_heading=h.8kqeem1d5ygr" w:colFirst="0" w:colLast="0"/>
      <w:bookmarkEnd w:id="2"/>
    </w:p>
    <w:p w14:paraId="0000011B" w14:textId="77777777" w:rsidR="00E67F5D" w:rsidRPr="00320CF2" w:rsidRDefault="00E67F5D">
      <w:pPr>
        <w:spacing w:before="120" w:after="120" w:line="240" w:lineRule="auto"/>
        <w:jc w:val="both"/>
        <w:rPr>
          <w:rFonts w:ascii="Times New Roman" w:eastAsia="Times New Roman" w:hAnsi="Times New Roman" w:cs="Times New Roman"/>
          <w:sz w:val="24"/>
          <w:szCs w:val="24"/>
        </w:rPr>
      </w:pPr>
    </w:p>
    <w:p w14:paraId="0000011C" w14:textId="77777777" w:rsidR="00E67F5D" w:rsidRDefault="00E67F5D">
      <w:pPr>
        <w:spacing w:before="120" w:after="120" w:line="240" w:lineRule="auto"/>
        <w:jc w:val="both"/>
        <w:rPr>
          <w:rFonts w:ascii="Times New Roman" w:eastAsia="Times New Roman" w:hAnsi="Times New Roman" w:cs="Times New Roman"/>
          <w:sz w:val="24"/>
          <w:szCs w:val="24"/>
        </w:rPr>
      </w:pPr>
    </w:p>
    <w:p w14:paraId="0000011D" w14:textId="77777777" w:rsidR="00E67F5D" w:rsidRDefault="00E67F5D">
      <w:pPr>
        <w:rPr>
          <w:rFonts w:ascii="Times New Roman" w:eastAsia="Times New Roman" w:hAnsi="Times New Roman" w:cs="Times New Roman"/>
          <w:sz w:val="24"/>
          <w:szCs w:val="24"/>
        </w:rPr>
      </w:pPr>
    </w:p>
    <w:p w14:paraId="0000011E" w14:textId="77777777" w:rsidR="00E67F5D" w:rsidRDefault="00E67F5D"/>
    <w:sectPr w:rsidR="00E67F5D">
      <w:headerReference w:type="even" r:id="rId16"/>
      <w:headerReference w:type="default" r:id="rId17"/>
      <w:footerReference w:type="even" r:id="rId18"/>
      <w:footerReference w:type="default" r:id="rId19"/>
      <w:headerReference w:type="first" r:id="rId20"/>
      <w:footerReference w:type="first" r:id="rId21"/>
      <w:pgSz w:w="11906" w:h="16838"/>
      <w:pgMar w:top="1134" w:right="1417" w:bottom="1134" w:left="1417"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088C74" w14:textId="77777777" w:rsidR="00A57651" w:rsidRDefault="00A57651">
      <w:pPr>
        <w:spacing w:after="0" w:line="240" w:lineRule="auto"/>
      </w:pPr>
      <w:r>
        <w:separator/>
      </w:r>
    </w:p>
  </w:endnote>
  <w:endnote w:type="continuationSeparator" w:id="0">
    <w:p w14:paraId="42BC4A6E" w14:textId="77777777" w:rsidR="00A57651" w:rsidRDefault="00A576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699D10FA-12C1-47DD-837F-49BA0131C518}"/>
  </w:font>
  <w:font w:name="Courier New">
    <w:panose1 w:val="02070309020205020404"/>
    <w:charset w:val="00"/>
    <w:family w:val="modern"/>
    <w:pitch w:val="fixed"/>
    <w:sig w:usb0="E0002EFF" w:usb1="C0007843" w:usb2="00000009" w:usb3="00000000" w:csb0="000001FF" w:csb1="00000000"/>
  </w:font>
  <w:font w:name="FlandersArtSans-Regular">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2B5A9438-2AE2-4D9F-AFD3-A28F61B70286}"/>
    <w:embedBold r:id="rId3" w:fontKey="{E8BB0CF8-C580-4C12-8A62-EA682DFFE5CA}"/>
    <w:embedItalic r:id="rId4" w:fontKey="{5546723D-7AD8-4647-B30C-8EA522E39AB6}"/>
    <w:embedBoldItalic r:id="rId5" w:fontKey="{FA9612A9-963F-4F2C-9D24-287053CFB02E}"/>
  </w:font>
  <w:font w:name="Segoe UI">
    <w:panose1 w:val="020B0502040204020203"/>
    <w:charset w:val="00"/>
    <w:family w:val="swiss"/>
    <w:pitch w:val="variable"/>
    <w:sig w:usb0="E4002EFF" w:usb1="C000E47F" w:usb2="00000009" w:usb3="00000000" w:csb0="000001FF" w:csb1="00000000"/>
    <w:embedRegular r:id="rId6" w:fontKey="{D78D38A3-D36F-423F-8851-ECFE1122A0E6}"/>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7" w:fontKey="{7CBC615E-2582-4DA6-852C-F7BB0B91BD7C}"/>
    <w:embedItalic r:id="rId8" w:fontKey="{B8CDDCA4-3DA6-4A37-99C2-7B4BFCC5EB71}"/>
  </w:font>
  <w:font w:name="Aptos Display">
    <w:charset w:val="00"/>
    <w:family w:val="swiss"/>
    <w:pitch w:val="variable"/>
    <w:sig w:usb0="20000287" w:usb1="00000003" w:usb2="00000000" w:usb3="00000000" w:csb0="0000019F" w:csb1="00000000"/>
    <w:embedRegular r:id="rId9" w:fontKey="{6E6ABD0E-F76F-4FE9-B5A4-9F8E972EACB2}"/>
  </w:font>
  <w:font w:name="Aptos">
    <w:charset w:val="00"/>
    <w:family w:val="swiss"/>
    <w:pitch w:val="variable"/>
    <w:sig w:usb0="20000287" w:usb1="00000003" w:usb2="00000000" w:usb3="00000000" w:csb0="0000019F" w:csb1="00000000"/>
    <w:embedRegular r:id="rId10" w:fontKey="{9244310C-BC82-4EF0-8F3C-92C2A3CF46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C"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D" w14:textId="77777777" w:rsidR="00E67F5D" w:rsidRDefault="00000000">
    <w:pPr>
      <w:pBdr>
        <w:top w:val="nil"/>
        <w:left w:val="nil"/>
        <w:bottom w:val="nil"/>
        <w:right w:val="nil"/>
        <w:between w:val="nil"/>
      </w:pBdr>
      <w:tabs>
        <w:tab w:val="center" w:pos="4535"/>
        <w:tab w:val="right" w:pos="9071"/>
        <w:tab w:val="right" w:pos="9921"/>
      </w:tabs>
      <w:spacing w:before="360" w:after="0" w:line="240" w:lineRule="auto"/>
      <w:ind w:left="-850" w:right="-850"/>
      <w:rPr>
        <w:rFonts w:ascii="Arial" w:eastAsia="Arial" w:hAnsi="Arial" w:cs="Arial"/>
        <w:b/>
        <w:color w:val="000000"/>
        <w:sz w:val="48"/>
        <w:szCs w:val="48"/>
      </w:rPr>
    </w:pPr>
    <w:r>
      <w:rPr>
        <w:rFonts w:ascii="Arial" w:eastAsia="Arial" w:hAnsi="Arial" w:cs="Arial"/>
        <w:b/>
        <w:color w:val="000000"/>
        <w:sz w:val="48"/>
        <w:szCs w:val="48"/>
      </w:rPr>
      <w:t>EN</w:t>
    </w:r>
    <w:r>
      <w:rPr>
        <w:rFonts w:ascii="Arial" w:eastAsia="Arial" w:hAnsi="Arial" w:cs="Arial"/>
        <w:b/>
        <w:color w:val="000000"/>
        <w:sz w:val="48"/>
        <w:szCs w:val="48"/>
      </w:rPr>
      <w:tab/>
    </w:r>
    <w:r>
      <w:rPr>
        <w:rFonts w:ascii="Arial" w:eastAsia="Arial" w:hAnsi="Arial" w:cs="Arial"/>
        <w:b/>
        <w:color w:val="000000"/>
        <w:sz w:val="48"/>
        <w:szCs w:val="48"/>
      </w:rPr>
      <w:tab/>
    </w:r>
    <w:r>
      <w:rPr>
        <w:rFonts w:ascii="Times New Roman" w:eastAsia="Times New Roman" w:hAnsi="Times New Roman" w:cs="Times New Roman"/>
        <w:color w:val="000000"/>
        <w:sz w:val="24"/>
        <w:szCs w:val="24"/>
      </w:rPr>
      <w:tab/>
    </w:r>
    <w:proofErr w:type="spellStart"/>
    <w:r>
      <w:rPr>
        <w:rFonts w:ascii="Arial" w:eastAsia="Arial" w:hAnsi="Arial" w:cs="Arial"/>
        <w:b/>
        <w:color w:val="000000"/>
        <w:sz w:val="48"/>
        <w:szCs w:val="48"/>
      </w:rPr>
      <w:t>EN</w:t>
    </w:r>
    <w:proofErr w:type="spellEnd"/>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E" w14:textId="77777777" w:rsidR="00E67F5D" w:rsidRDefault="00E67F5D">
    <w:pPr>
      <w:pBdr>
        <w:top w:val="nil"/>
        <w:left w:val="nil"/>
        <w:bottom w:val="nil"/>
        <w:right w:val="nil"/>
        <w:between w:val="nil"/>
      </w:pBdr>
      <w:tabs>
        <w:tab w:val="center" w:pos="4535"/>
        <w:tab w:val="right" w:pos="9071"/>
        <w:tab w:val="right" w:pos="9921"/>
      </w:tabs>
      <w:spacing w:before="360" w:after="0" w:line="240" w:lineRule="auto"/>
      <w:ind w:left="-850" w:right="-850"/>
      <w:rPr>
        <w:rFonts w:ascii="Times New Roman" w:eastAsia="Times New Roman" w:hAnsi="Times New Roman" w:cs="Times New Roman"/>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F"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0" w14:textId="4C6AC608" w:rsidR="00E67F5D" w:rsidRDefault="00000000">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48"/>
        <w:szCs w:val="48"/>
      </w:rPr>
    </w:pPr>
    <w:r>
      <w:rPr>
        <w:rFonts w:ascii="Arial" w:eastAsia="Arial" w:hAnsi="Arial" w:cs="Arial"/>
        <w:b/>
        <w:color w:val="000000"/>
        <w:sz w:val="48"/>
        <w:szCs w:val="48"/>
      </w:rPr>
      <w:t>EN</w:t>
    </w:r>
    <w:r>
      <w:rPr>
        <w:rFonts w:ascii="Arial" w:eastAsia="Arial" w:hAnsi="Arial" w:cs="Arial"/>
        <w:b/>
        <w:color w:val="000000"/>
        <w:sz w:val="48"/>
        <w:szCs w:val="48"/>
      </w:rPr>
      <w:tab/>
    </w:r>
    <w:r>
      <w:rPr>
        <w:color w:val="000000"/>
      </w:rPr>
      <w:fldChar w:fldCharType="begin"/>
    </w:r>
    <w:r>
      <w:rPr>
        <w:color w:val="000000"/>
      </w:rPr>
      <w:instrText>PAGE</w:instrText>
    </w:r>
    <w:r>
      <w:rPr>
        <w:color w:val="000000"/>
      </w:rPr>
      <w:fldChar w:fldCharType="separate"/>
    </w:r>
    <w:r w:rsidR="00320CF2">
      <w:rPr>
        <w:noProof/>
        <w:color w:val="000000"/>
      </w:rPr>
      <w:t>1</w:t>
    </w:r>
    <w:r>
      <w:rPr>
        <w:color w:val="000000"/>
      </w:rPr>
      <w:fldChar w:fldCharType="end"/>
    </w:r>
    <w:r>
      <w:rPr>
        <w:color w:val="000000"/>
      </w:rPr>
      <w:tab/>
    </w:r>
    <w:r>
      <w:rPr>
        <w:rFonts w:ascii="Arial" w:eastAsia="Arial" w:hAnsi="Arial" w:cs="Arial"/>
        <w:b/>
        <w:color w:val="000000"/>
        <w:sz w:val="48"/>
        <w:szCs w:val="48"/>
      </w:rPr>
      <w:t>EN</w:t>
    </w:r>
    <w:r>
      <w:rPr>
        <w:color w:val="000000"/>
      </w:rP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1"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3787ED" w14:textId="77777777" w:rsidR="00A57651" w:rsidRDefault="00A57651">
      <w:pPr>
        <w:spacing w:after="0" w:line="240" w:lineRule="auto"/>
      </w:pPr>
      <w:r>
        <w:separator/>
      </w:r>
    </w:p>
  </w:footnote>
  <w:footnote w:type="continuationSeparator" w:id="0">
    <w:p w14:paraId="6ED439D6" w14:textId="77777777" w:rsidR="00A57651" w:rsidRDefault="00A57651">
      <w:pPr>
        <w:spacing w:after="0" w:line="240" w:lineRule="auto"/>
      </w:pPr>
      <w:r>
        <w:continuationSeparator/>
      </w:r>
    </w:p>
  </w:footnote>
  <w:footnote w:id="1">
    <w:p w14:paraId="0000011F"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Where the data exporter is a processor subject to Regulation (EU) 2016/679 acting on behalf of a Union institution or body as controller, reliance on these Clauses when engaging another processor (sub-processing) not subject to Regulation (EU) 2016/679 also ensures compliance with Article 29(4) of Regulation (EU) 2018/1725 of the European Parliament and of the Council of 23 October 2018 on the protection of natural persons with regard to the processing of personal data by the Union institutions, bodies, offices and agencies and on the free movement of such data, and repealing Regulation (EC) No 45/2001 and Decision No 1247/2002/EC (OJ L 295 of 21.11.2018, p. 39), to the extent these Clauses and the data protection obligations as set out in the contract or other legal act between the controller and the processor pursuant to Article 29(3) of Regulation (EU) 2018/1725 are aligned. This will in particular be the case where the controller and processor rely on the standard contractual clauses included in Decision […].</w:t>
      </w:r>
    </w:p>
  </w:footnote>
  <w:footnote w:id="2">
    <w:p w14:paraId="00000120"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This requires rendering the data anonymous in such a way that the individual is no longer identifiable by anyone, in line with recital 26 of Regulation (EU) 2016/679, and that this process is irreversible.</w:t>
      </w:r>
    </w:p>
  </w:footnote>
  <w:footnote w:id="3">
    <w:p w14:paraId="00000121"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The Agreement on the European Economic Area (EEA Agreement) provides for the extension of the European Union's internal market to the three EEA States Iceland, Liechtenstein and Norway. The Union data protection legislation, including Regulation (EU) 2016/679, is covered by the EEA Agreement and has been incorporated into Annex XI thereto. Therefore, any disclosure by the data importer to a third party located in the EEA does not qualify as an onward transfer for the purpose of these Clauses.</w:t>
      </w:r>
    </w:p>
    <w:p w14:paraId="00000122" w14:textId="77777777" w:rsidR="00E67F5D" w:rsidRDefault="00E67F5D">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p>
  </w:footnote>
  <w:footnote w:id="4">
    <w:p w14:paraId="00000123"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 xml:space="preserve">That period may be extended by a maximum of two more months, to the extent necessary taking into account the complexity and number of requests. The data importer shall duly and promptly inform the data subject of any such extension. </w:t>
      </w:r>
    </w:p>
  </w:footnote>
  <w:footnote w:id="5">
    <w:p w14:paraId="00000124"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The data importer may offer independent dispute resolution through an arbitration body only if it is established in a country that has ratified the New York Convention on Enforcement of Arbitration Awards.</w:t>
      </w:r>
      <w:r>
        <w:rPr>
          <w:rFonts w:ascii="Times New Roman" w:eastAsia="Times New Roman" w:hAnsi="Times New Roman" w:cs="Times New Roman"/>
          <w:color w:val="000000"/>
          <w:sz w:val="20"/>
          <w:szCs w:val="20"/>
        </w:rPr>
        <w:tab/>
      </w:r>
    </w:p>
  </w:footnote>
  <w:footnote w:id="6">
    <w:p w14:paraId="00000125" w14:textId="77777777" w:rsidR="00E67F5D"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ab/>
        <w:t>As regards the impact of such laws and practices on compliance with these Clauses, different elements may be considered as part of an overall assessment. Such elements may include relevant and documented practical experience with prior instances of requests for disclosure from public authorities, or the absence of such requests, covering a sufficiently representative time-frame. This refers in particular to internal records or other documentation, drawn up on a continuous basis in accordance with due diligence and certified at senior management level, provided that this information can be lawfully shared with third parties. Where this practical experience is relied upon to conclude that the data importer will not be prevented from complying with these Clauses, it needs to be supported by other relevant, objective elements, and it is for the Parties to consider carefully whether these elements together carry sufficient weight, in terms of their reliability and representativeness, to support this conclusion. In particular, the Parties have to take into account whether their practical experience is corroborated and not contradicted by publicly available or otherwise accessible, reliable information on the existence or absence of requests within the same sector and/or the application of the law in practice, such as case law and reports by independent oversight bodies.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6"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7" w14:textId="77777777" w:rsidR="00E67F5D" w:rsidRDefault="00E67F5D">
    <w:pPr>
      <w:pBdr>
        <w:top w:val="nil"/>
        <w:left w:val="nil"/>
        <w:bottom w:val="nil"/>
        <w:right w:val="nil"/>
        <w:between w:val="nil"/>
      </w:pBdr>
      <w:tabs>
        <w:tab w:val="center" w:pos="4535"/>
        <w:tab w:val="right" w:pos="9071"/>
      </w:tabs>
      <w:spacing w:after="120" w:line="240" w:lineRule="auto"/>
      <w:jc w:val="both"/>
      <w:rPr>
        <w:rFonts w:ascii="Times New Roman" w:eastAsia="Times New Roman" w:hAnsi="Times New Roman" w:cs="Times New Roman"/>
        <w:color w:val="000000"/>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8" w14:textId="77777777" w:rsidR="00E67F5D" w:rsidRDefault="00E67F5D">
    <w:pPr>
      <w:pBdr>
        <w:top w:val="nil"/>
        <w:left w:val="nil"/>
        <w:bottom w:val="nil"/>
        <w:right w:val="nil"/>
        <w:between w:val="nil"/>
      </w:pBdr>
      <w:tabs>
        <w:tab w:val="center" w:pos="4535"/>
        <w:tab w:val="right" w:pos="9071"/>
      </w:tabs>
      <w:spacing w:after="120" w:line="240" w:lineRule="auto"/>
      <w:jc w:val="both"/>
      <w:rPr>
        <w:rFonts w:ascii="Times New Roman" w:eastAsia="Times New Roman" w:hAnsi="Times New Roman" w:cs="Times New Roman"/>
        <w:color w:val="000000"/>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9"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A"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B" w14:textId="77777777" w:rsidR="00E67F5D" w:rsidRDefault="00E67F5D">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956BA"/>
    <w:multiLevelType w:val="multilevel"/>
    <w:tmpl w:val="B0065824"/>
    <w:lvl w:ilvl="0">
      <w:start w:val="1"/>
      <w:numFmt w:val="bullet"/>
      <w:pStyle w:val="List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AB6FB1"/>
    <w:multiLevelType w:val="multilevel"/>
    <w:tmpl w:val="4FBEB7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B2428CB"/>
    <w:multiLevelType w:val="multilevel"/>
    <w:tmpl w:val="4028B750"/>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3" w15:restartNumberingAfterBreak="0">
    <w:nsid w:val="11CD2527"/>
    <w:multiLevelType w:val="multilevel"/>
    <w:tmpl w:val="E48C73FE"/>
    <w:lvl w:ilvl="0">
      <w:start w:val="1"/>
      <w:numFmt w:val="decimal"/>
      <w:pStyle w:val="ListBullet4"/>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4" w15:restartNumberingAfterBreak="0">
    <w:nsid w:val="15190330"/>
    <w:multiLevelType w:val="multilevel"/>
    <w:tmpl w:val="F8F8FD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A2932DC"/>
    <w:multiLevelType w:val="multilevel"/>
    <w:tmpl w:val="BC244D9E"/>
    <w:lvl w:ilvl="0">
      <w:start w:val="1"/>
      <w:numFmt w:val="decimal"/>
      <w:pStyle w:val="ListNumber3"/>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6" w15:restartNumberingAfterBreak="0">
    <w:nsid w:val="2FD7111C"/>
    <w:multiLevelType w:val="multilevel"/>
    <w:tmpl w:val="3250A43E"/>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0074A2A"/>
    <w:multiLevelType w:val="multilevel"/>
    <w:tmpl w:val="FBF0E94E"/>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38455B46"/>
    <w:multiLevelType w:val="multilevel"/>
    <w:tmpl w:val="ADEE2A2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9" w15:restartNumberingAfterBreak="0">
    <w:nsid w:val="3B31055B"/>
    <w:multiLevelType w:val="multilevel"/>
    <w:tmpl w:val="2F9868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F7A690C"/>
    <w:multiLevelType w:val="multilevel"/>
    <w:tmpl w:val="9416A0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FEA3DBA"/>
    <w:multiLevelType w:val="multilevel"/>
    <w:tmpl w:val="9D24E492"/>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2" w15:restartNumberingAfterBreak="0">
    <w:nsid w:val="401932F2"/>
    <w:multiLevelType w:val="multilevel"/>
    <w:tmpl w:val="39D6356E"/>
    <w:lvl w:ilvl="0">
      <w:start w:val="1"/>
      <w:numFmt w:val="decimal"/>
      <w:pStyle w:val="ListBullet3"/>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3" w15:restartNumberingAfterBreak="0">
    <w:nsid w:val="40FD6D3F"/>
    <w:multiLevelType w:val="multilevel"/>
    <w:tmpl w:val="AE5EDEDC"/>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4" w15:restartNumberingAfterBreak="0">
    <w:nsid w:val="41E415DD"/>
    <w:multiLevelType w:val="multilevel"/>
    <w:tmpl w:val="D14AC264"/>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5" w15:restartNumberingAfterBreak="0">
    <w:nsid w:val="42FC02DF"/>
    <w:multiLevelType w:val="multilevel"/>
    <w:tmpl w:val="8C5AC7AC"/>
    <w:lvl w:ilvl="0">
      <w:start w:val="1"/>
      <w:numFmt w:val="bullet"/>
      <w:pStyle w:val="ListBullet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580744E"/>
    <w:multiLevelType w:val="multilevel"/>
    <w:tmpl w:val="2EEECC12"/>
    <w:lvl w:ilvl="0">
      <w:start w:val="1"/>
      <w:numFmt w:val="decimal"/>
      <w:pStyle w:val="ListNumber"/>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7" w15:restartNumberingAfterBreak="0">
    <w:nsid w:val="482B70A4"/>
    <w:multiLevelType w:val="multilevel"/>
    <w:tmpl w:val="1B1A2F56"/>
    <w:lvl w:ilvl="0">
      <w:start w:val="1"/>
      <w:numFmt w:val="decimal"/>
      <w:pStyle w:val="Point0number"/>
      <w:lvlText w:val="(%1)"/>
      <w:lvlJc w:val="left"/>
      <w:pPr>
        <w:ind w:left="850" w:hanging="850"/>
      </w:pPr>
    </w:lvl>
    <w:lvl w:ilvl="1">
      <w:start w:val="1"/>
      <w:numFmt w:val="lowerLetter"/>
      <w:pStyle w:val="Point0letter"/>
      <w:lvlText w:val="(%2)"/>
      <w:lvlJc w:val="left"/>
      <w:pPr>
        <w:ind w:left="850" w:hanging="850"/>
      </w:pPr>
    </w:lvl>
    <w:lvl w:ilvl="2">
      <w:start w:val="1"/>
      <w:numFmt w:val="decimal"/>
      <w:pStyle w:val="Point1number"/>
      <w:lvlText w:val="(%3)"/>
      <w:lvlJc w:val="left"/>
      <w:pPr>
        <w:ind w:left="1417" w:hanging="567"/>
      </w:pPr>
    </w:lvl>
    <w:lvl w:ilvl="3">
      <w:start w:val="1"/>
      <w:numFmt w:val="lowerRoman"/>
      <w:lvlText w:val="(%4)"/>
      <w:lvlJc w:val="left"/>
      <w:pPr>
        <w:ind w:left="1417" w:hanging="567"/>
      </w:pPr>
    </w:lvl>
    <w:lvl w:ilvl="4">
      <w:start w:val="1"/>
      <w:numFmt w:val="decimal"/>
      <w:pStyle w:val="Point2number"/>
      <w:lvlText w:val="(%5)"/>
      <w:lvlJc w:val="left"/>
      <w:pPr>
        <w:ind w:left="1984" w:hanging="567"/>
      </w:pPr>
    </w:lvl>
    <w:lvl w:ilvl="5">
      <w:start w:val="1"/>
      <w:numFmt w:val="lowerLetter"/>
      <w:pStyle w:val="Point2letter"/>
      <w:lvlText w:val="(%6)"/>
      <w:lvlJc w:val="left"/>
      <w:pPr>
        <w:ind w:left="1984" w:hanging="567"/>
      </w:pPr>
    </w:lvl>
    <w:lvl w:ilvl="6">
      <w:start w:val="1"/>
      <w:numFmt w:val="decimal"/>
      <w:pStyle w:val="Point3number"/>
      <w:lvlText w:val="(%7)"/>
      <w:lvlJc w:val="left"/>
      <w:pPr>
        <w:ind w:left="2551" w:hanging="567"/>
      </w:pPr>
    </w:lvl>
    <w:lvl w:ilvl="7">
      <w:start w:val="1"/>
      <w:numFmt w:val="lowerLetter"/>
      <w:pStyle w:val="Point3letter"/>
      <w:lvlText w:val="(%8)"/>
      <w:lvlJc w:val="left"/>
      <w:pPr>
        <w:ind w:left="2551" w:hanging="567"/>
      </w:pPr>
    </w:lvl>
    <w:lvl w:ilvl="8">
      <w:start w:val="1"/>
      <w:numFmt w:val="lowerLetter"/>
      <w:pStyle w:val="Point4letter"/>
      <w:lvlText w:val="(%9)"/>
      <w:lvlJc w:val="left"/>
      <w:pPr>
        <w:ind w:left="3118" w:hanging="567"/>
      </w:pPr>
    </w:lvl>
  </w:abstractNum>
  <w:abstractNum w:abstractNumId="18" w15:restartNumberingAfterBreak="0">
    <w:nsid w:val="53E6578F"/>
    <w:multiLevelType w:val="multilevel"/>
    <w:tmpl w:val="9596195A"/>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9" w15:restartNumberingAfterBreak="0">
    <w:nsid w:val="55D6372C"/>
    <w:multiLevelType w:val="multilevel"/>
    <w:tmpl w:val="9B48AD0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0" w15:restartNumberingAfterBreak="0">
    <w:nsid w:val="57AF16C4"/>
    <w:multiLevelType w:val="multilevel"/>
    <w:tmpl w:val="45C63D92"/>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1" w15:restartNumberingAfterBreak="0">
    <w:nsid w:val="6D523330"/>
    <w:multiLevelType w:val="multilevel"/>
    <w:tmpl w:val="E94CAE30"/>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2" w15:restartNumberingAfterBreak="0">
    <w:nsid w:val="73AE2820"/>
    <w:multiLevelType w:val="multilevel"/>
    <w:tmpl w:val="36F6EDD6"/>
    <w:lvl w:ilvl="0">
      <w:start w:val="1"/>
      <w:numFmt w:val="decimal"/>
      <w:pStyle w:val="ListNumber4"/>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3" w15:restartNumberingAfterBreak="0">
    <w:nsid w:val="7C505BD1"/>
    <w:multiLevelType w:val="multilevel"/>
    <w:tmpl w:val="391C6678"/>
    <w:lvl w:ilvl="0">
      <w:start w:val="1"/>
      <w:numFmt w:val="decimal"/>
      <w:pStyle w:val="ListNumber2"/>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4" w15:restartNumberingAfterBreak="0">
    <w:nsid w:val="7EEC7FA3"/>
    <w:multiLevelType w:val="multilevel"/>
    <w:tmpl w:val="B8287B50"/>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num w:numId="1" w16cid:durableId="1393458226">
    <w:abstractNumId w:val="0"/>
  </w:num>
  <w:num w:numId="2" w16cid:durableId="1223098601">
    <w:abstractNumId w:val="15"/>
  </w:num>
  <w:num w:numId="3" w16cid:durableId="329717860">
    <w:abstractNumId w:val="12"/>
  </w:num>
  <w:num w:numId="4" w16cid:durableId="1100101547">
    <w:abstractNumId w:val="3"/>
  </w:num>
  <w:num w:numId="5" w16cid:durableId="1913003096">
    <w:abstractNumId w:val="16"/>
  </w:num>
  <w:num w:numId="6" w16cid:durableId="1187864120">
    <w:abstractNumId w:val="23"/>
  </w:num>
  <w:num w:numId="7" w16cid:durableId="533691799">
    <w:abstractNumId w:val="5"/>
  </w:num>
  <w:num w:numId="8" w16cid:durableId="355541363">
    <w:abstractNumId w:val="22"/>
  </w:num>
  <w:num w:numId="9" w16cid:durableId="1425682520">
    <w:abstractNumId w:val="17"/>
  </w:num>
  <w:num w:numId="10" w16cid:durableId="2009867149">
    <w:abstractNumId w:val="18"/>
  </w:num>
  <w:num w:numId="11" w16cid:durableId="2101169733">
    <w:abstractNumId w:val="8"/>
  </w:num>
  <w:num w:numId="12" w16cid:durableId="778065661">
    <w:abstractNumId w:val="24"/>
  </w:num>
  <w:num w:numId="13" w16cid:durableId="1909026327">
    <w:abstractNumId w:val="14"/>
  </w:num>
  <w:num w:numId="14" w16cid:durableId="1121803509">
    <w:abstractNumId w:val="2"/>
  </w:num>
  <w:num w:numId="15" w16cid:durableId="92365385">
    <w:abstractNumId w:val="20"/>
  </w:num>
  <w:num w:numId="16" w16cid:durableId="127281004">
    <w:abstractNumId w:val="13"/>
  </w:num>
  <w:num w:numId="17" w16cid:durableId="1145783225">
    <w:abstractNumId w:val="21"/>
  </w:num>
  <w:num w:numId="18" w16cid:durableId="2109426278">
    <w:abstractNumId w:val="11"/>
  </w:num>
  <w:num w:numId="19" w16cid:durableId="1884319564">
    <w:abstractNumId w:val="6"/>
  </w:num>
  <w:num w:numId="20" w16cid:durableId="1007558161">
    <w:abstractNumId w:val="10"/>
  </w:num>
  <w:num w:numId="21" w16cid:durableId="1687831805">
    <w:abstractNumId w:val="4"/>
  </w:num>
  <w:num w:numId="22" w16cid:durableId="96485985">
    <w:abstractNumId w:val="1"/>
  </w:num>
  <w:num w:numId="23" w16cid:durableId="1896891920">
    <w:abstractNumId w:val="9"/>
  </w:num>
  <w:num w:numId="24" w16cid:durableId="2129202774">
    <w:abstractNumId w:val="19"/>
  </w:num>
  <w:num w:numId="25" w16cid:durableId="1776510687">
    <w:abstractNumId w:val="7"/>
  </w:num>
  <w:num w:numId="26" w16cid:durableId="10295293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195224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331322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9035439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474820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893041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79749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625871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384195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644611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826845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848074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7F5D"/>
    <w:rsid w:val="001858D5"/>
    <w:rsid w:val="001E5920"/>
    <w:rsid w:val="00277899"/>
    <w:rsid w:val="00320CF2"/>
    <w:rsid w:val="00383444"/>
    <w:rsid w:val="00A57651"/>
    <w:rsid w:val="00B42D53"/>
    <w:rsid w:val="00B624C1"/>
    <w:rsid w:val="00D52B39"/>
    <w:rsid w:val="00E67F5D"/>
    <w:rsid w:val="00F43A1F"/>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423241"/>
  <w15:docId w15:val="{A7D9F5D9-8E4E-4BCC-B8B3-43AB117D5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nl-B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n-US"/>
    </w:rPr>
  </w:style>
  <w:style w:type="paragraph" w:styleId="Heading1">
    <w:name w:val="heading 1"/>
    <w:basedOn w:val="Normal"/>
    <w:next w:val="Text1"/>
    <w:link w:val="Heading1Char"/>
    <w:uiPriority w:val="9"/>
    <w:qFormat/>
    <w:pPr>
      <w:keepNext/>
      <w:numPr>
        <w:numId w:val="25"/>
      </w:numPr>
      <w:spacing w:before="360" w:after="120" w:line="240" w:lineRule="auto"/>
      <w:jc w:val="both"/>
      <w:outlineLvl w:val="0"/>
    </w:pPr>
    <w:rPr>
      <w:rFonts w:ascii="Times New Roman" w:eastAsia="Times New Roman" w:hAnsi="Times New Roman"/>
      <w:b/>
      <w:bCs/>
      <w:smallCaps/>
      <w:sz w:val="24"/>
      <w:szCs w:val="28"/>
    </w:rPr>
  </w:style>
  <w:style w:type="paragraph" w:styleId="Heading2">
    <w:name w:val="heading 2"/>
    <w:basedOn w:val="Normal"/>
    <w:next w:val="Text1"/>
    <w:link w:val="Heading2Char"/>
    <w:uiPriority w:val="9"/>
    <w:semiHidden/>
    <w:unhideWhenUsed/>
    <w:qFormat/>
    <w:pPr>
      <w:keepNext/>
      <w:numPr>
        <w:ilvl w:val="1"/>
        <w:numId w:val="25"/>
      </w:numPr>
      <w:spacing w:before="120" w:after="120" w:line="240" w:lineRule="auto"/>
      <w:jc w:val="both"/>
      <w:outlineLvl w:val="1"/>
    </w:pPr>
    <w:rPr>
      <w:rFonts w:ascii="Times New Roman" w:eastAsia="Times New Roman" w:hAnsi="Times New Roman"/>
      <w:b/>
      <w:bCs/>
      <w:sz w:val="24"/>
      <w:szCs w:val="26"/>
    </w:rPr>
  </w:style>
  <w:style w:type="paragraph" w:styleId="Heading3">
    <w:name w:val="heading 3"/>
    <w:basedOn w:val="Normal"/>
    <w:next w:val="Text1"/>
    <w:link w:val="Heading3Char"/>
    <w:uiPriority w:val="9"/>
    <w:semiHidden/>
    <w:unhideWhenUsed/>
    <w:qFormat/>
    <w:pPr>
      <w:keepNext/>
      <w:numPr>
        <w:ilvl w:val="2"/>
        <w:numId w:val="25"/>
      </w:numPr>
      <w:spacing w:before="120" w:after="120" w:line="240" w:lineRule="auto"/>
      <w:jc w:val="both"/>
      <w:outlineLvl w:val="2"/>
    </w:pPr>
    <w:rPr>
      <w:rFonts w:ascii="Times New Roman" w:eastAsia="Times New Roman" w:hAnsi="Times New Roman"/>
      <w:bCs/>
      <w:i/>
      <w:sz w:val="24"/>
    </w:rPr>
  </w:style>
  <w:style w:type="paragraph" w:styleId="Heading4">
    <w:name w:val="heading 4"/>
    <w:basedOn w:val="Normal"/>
    <w:next w:val="Text1"/>
    <w:link w:val="Heading4Char"/>
    <w:uiPriority w:val="9"/>
    <w:semiHidden/>
    <w:unhideWhenUsed/>
    <w:qFormat/>
    <w:pPr>
      <w:keepNext/>
      <w:numPr>
        <w:ilvl w:val="3"/>
        <w:numId w:val="25"/>
      </w:numPr>
      <w:spacing w:before="120" w:after="120" w:line="240" w:lineRule="auto"/>
      <w:jc w:val="both"/>
      <w:outlineLvl w:val="3"/>
    </w:pPr>
    <w:rPr>
      <w:rFonts w:ascii="Times New Roman" w:eastAsia="Times New Roman" w:hAnsi="Times New Roman"/>
      <w:bCs/>
      <w:iCs/>
      <w:sz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Marker">
    <w:name w:val="Marker"/>
    <w:rPr>
      <w:color w:val="0000FF"/>
      <w:shd w:val="clear" w:color="auto" w:fill="auto"/>
    </w:rPr>
  </w:style>
  <w:style w:type="paragraph" w:customStyle="1" w:styleId="Pagedecouverture">
    <w:name w:val="Page de couverture"/>
    <w:basedOn w:val="Normal"/>
    <w:next w:val="Normal"/>
    <w:pPr>
      <w:spacing w:after="0" w:line="240" w:lineRule="auto"/>
      <w:jc w:val="both"/>
    </w:pPr>
    <w:rPr>
      <w:rFonts w:ascii="Times New Roman" w:hAnsi="Times New Roman"/>
      <w:sz w:val="24"/>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customStyle="1" w:styleId="FooterCoverPage">
    <w:name w:val="Footer Cover Page"/>
    <w:basedOn w:val="Normal"/>
    <w:link w:val="FooterCoverPageChar"/>
    <w:pPr>
      <w:tabs>
        <w:tab w:val="center" w:pos="4535"/>
        <w:tab w:val="right" w:pos="9071"/>
        <w:tab w:val="right" w:pos="9921"/>
      </w:tabs>
      <w:spacing w:before="360" w:after="0" w:line="240" w:lineRule="auto"/>
      <w:ind w:left="-850" w:right="-850"/>
    </w:pPr>
    <w:rPr>
      <w:rFonts w:ascii="Times New Roman" w:hAnsi="Times New Roman"/>
      <w:sz w:val="24"/>
    </w:rPr>
  </w:style>
  <w:style w:type="character" w:customStyle="1" w:styleId="FooterCoverPageChar">
    <w:name w:val="Footer Cover Page Char"/>
    <w:link w:val="FooterCoverPage"/>
    <w:rPr>
      <w:rFonts w:ascii="Times New Roman" w:hAnsi="Times New Roman" w:cs="Times New Roman"/>
      <w:sz w:val="24"/>
    </w:rPr>
  </w:style>
  <w:style w:type="paragraph" w:customStyle="1" w:styleId="FooterSensitivity">
    <w:name w:val="Footer Sensitivity"/>
    <w:basedOn w:val="Normal"/>
    <w:link w:val="FooterSensitivityChar"/>
    <w:pPr>
      <w:pBdr>
        <w:top w:val="single" w:sz="4" w:space="1" w:color="auto"/>
        <w:left w:val="single" w:sz="4" w:space="4" w:color="auto"/>
        <w:bottom w:val="single" w:sz="4" w:space="1" w:color="auto"/>
        <w:right w:val="single" w:sz="4" w:space="4" w:color="auto"/>
      </w:pBdr>
      <w:spacing w:before="360" w:after="0" w:line="240" w:lineRule="auto"/>
      <w:ind w:left="113" w:right="113"/>
      <w:jc w:val="center"/>
    </w:pPr>
    <w:rPr>
      <w:rFonts w:ascii="Times New Roman" w:hAnsi="Times New Roman"/>
      <w:b/>
      <w:sz w:val="32"/>
    </w:rPr>
  </w:style>
  <w:style w:type="character" w:customStyle="1" w:styleId="FooterSensitivityChar">
    <w:name w:val="Footer Sensitivity Char"/>
    <w:link w:val="FooterSensitivity"/>
    <w:rPr>
      <w:rFonts w:ascii="Times New Roman" w:hAnsi="Times New Roman" w:cs="Times New Roman"/>
      <w:b/>
      <w:sz w:val="32"/>
    </w:rPr>
  </w:style>
  <w:style w:type="paragraph" w:customStyle="1" w:styleId="HeaderCoverPage">
    <w:name w:val="Header Cover Page"/>
    <w:basedOn w:val="Normal"/>
    <w:link w:val="HeaderCoverPageChar"/>
    <w:pPr>
      <w:tabs>
        <w:tab w:val="center" w:pos="4535"/>
        <w:tab w:val="right" w:pos="9071"/>
      </w:tabs>
      <w:spacing w:after="120" w:line="240" w:lineRule="auto"/>
      <w:jc w:val="both"/>
    </w:pPr>
    <w:rPr>
      <w:rFonts w:ascii="Times New Roman" w:hAnsi="Times New Roman"/>
      <w:sz w:val="24"/>
    </w:rPr>
  </w:style>
  <w:style w:type="character" w:customStyle="1" w:styleId="HeaderCoverPageChar">
    <w:name w:val="Header Cover Page Char"/>
    <w:link w:val="HeaderCoverPage"/>
    <w:rPr>
      <w:rFonts w:ascii="Times New Roman" w:hAnsi="Times New Roman" w:cs="Times New Roman"/>
      <w:sz w:val="24"/>
    </w:rPr>
  </w:style>
  <w:style w:type="paragraph" w:customStyle="1" w:styleId="HeaderSensitivity">
    <w:name w:val="Header Sensitivity"/>
    <w:basedOn w:val="Normal"/>
    <w:link w:val="HeaderSensitivityChar"/>
    <w:pPr>
      <w:pBdr>
        <w:top w:val="single" w:sz="4" w:space="1" w:color="auto"/>
        <w:left w:val="single" w:sz="4" w:space="4" w:color="auto"/>
        <w:bottom w:val="single" w:sz="4" w:space="1" w:color="auto"/>
        <w:right w:val="single" w:sz="4" w:space="4" w:color="auto"/>
      </w:pBdr>
      <w:spacing w:after="120" w:line="240" w:lineRule="auto"/>
      <w:ind w:left="113" w:right="113"/>
      <w:jc w:val="center"/>
    </w:pPr>
    <w:rPr>
      <w:rFonts w:ascii="Times New Roman" w:hAnsi="Times New Roman"/>
      <w:b/>
      <w:sz w:val="32"/>
    </w:rPr>
  </w:style>
  <w:style w:type="character" w:customStyle="1" w:styleId="HeaderSensitivityChar">
    <w:name w:val="Header Sensitivity Char"/>
    <w:link w:val="HeaderSensitivity"/>
    <w:rPr>
      <w:rFonts w:ascii="Times New Roman" w:hAnsi="Times New Roman" w:cs="Times New Roman"/>
      <w:b/>
      <w:sz w:val="32"/>
    </w:rPr>
  </w:style>
  <w:style w:type="paragraph" w:customStyle="1" w:styleId="HeaderSensitivityRight">
    <w:name w:val="Header Sensitivity Right"/>
    <w:basedOn w:val="Normal"/>
    <w:link w:val="HeaderSensitivityRightChar"/>
    <w:pPr>
      <w:spacing w:after="120" w:line="240" w:lineRule="auto"/>
      <w:jc w:val="right"/>
    </w:pPr>
    <w:rPr>
      <w:rFonts w:ascii="Times New Roman" w:hAnsi="Times New Roman"/>
      <w:sz w:val="28"/>
    </w:rPr>
  </w:style>
  <w:style w:type="character" w:customStyle="1" w:styleId="HeaderSensitivityRightChar">
    <w:name w:val="Header Sensitivity Right Char"/>
    <w:link w:val="HeaderSensitivityRight"/>
    <w:rPr>
      <w:rFonts w:ascii="Times New Roman" w:hAnsi="Times New Roman" w:cs="Times New Roman"/>
      <w:sz w:val="28"/>
    </w:rPr>
  </w:style>
  <w:style w:type="character" w:customStyle="1" w:styleId="Heading1Char">
    <w:name w:val="Heading 1 Char"/>
    <w:link w:val="Heading1"/>
    <w:uiPriority w:val="9"/>
    <w:rPr>
      <w:rFonts w:ascii="Times New Roman" w:eastAsia="Times New Roman" w:hAnsi="Times New Roman" w:cs="Times New Roman"/>
      <w:b/>
      <w:bCs/>
      <w:smallCaps/>
      <w:sz w:val="24"/>
      <w:szCs w:val="28"/>
    </w:rPr>
  </w:style>
  <w:style w:type="character" w:customStyle="1" w:styleId="Heading2Char">
    <w:name w:val="Heading 2 Char"/>
    <w:link w:val="Heading2"/>
    <w:uiPriority w:val="9"/>
    <w:semiHidden/>
    <w:rPr>
      <w:rFonts w:ascii="Times New Roman" w:eastAsia="Times New Roman" w:hAnsi="Times New Roman" w:cs="Times New Roman"/>
      <w:b/>
      <w:bCs/>
      <w:sz w:val="24"/>
      <w:szCs w:val="26"/>
    </w:rPr>
  </w:style>
  <w:style w:type="character" w:customStyle="1" w:styleId="Heading3Char">
    <w:name w:val="Heading 3 Char"/>
    <w:link w:val="Heading3"/>
    <w:uiPriority w:val="9"/>
    <w:semiHidden/>
    <w:rPr>
      <w:rFonts w:ascii="Times New Roman" w:eastAsia="Times New Roman" w:hAnsi="Times New Roman" w:cs="Times New Roman"/>
      <w:bCs/>
      <w:i/>
      <w:sz w:val="24"/>
    </w:rPr>
  </w:style>
  <w:style w:type="character" w:customStyle="1" w:styleId="Heading4Char">
    <w:name w:val="Heading 4 Char"/>
    <w:link w:val="Heading4"/>
    <w:uiPriority w:val="9"/>
    <w:semiHidden/>
    <w:rPr>
      <w:rFonts w:ascii="Times New Roman" w:eastAsia="Times New Roman" w:hAnsi="Times New Roman" w:cs="Times New Roman"/>
      <w:bCs/>
      <w:iCs/>
      <w:sz w:val="24"/>
    </w:rPr>
  </w:style>
  <w:style w:type="numbering" w:customStyle="1" w:styleId="NoList1">
    <w:name w:val="No List1"/>
    <w:next w:val="NoList"/>
    <w:uiPriority w:val="99"/>
    <w:semiHidden/>
    <w:unhideWhenUsed/>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unhideWhenUsed/>
    <w:pPr>
      <w:spacing w:before="120" w:after="120" w:line="240" w:lineRule="auto"/>
      <w:jc w:val="both"/>
    </w:pPr>
    <w:rPr>
      <w:rFonts w:ascii="Times New Roman" w:hAnsi="Times New Roman"/>
      <w:sz w:val="20"/>
      <w:szCs w:val="20"/>
    </w:rPr>
  </w:style>
  <w:style w:type="character" w:customStyle="1" w:styleId="CommentTextChar">
    <w:name w:val="Comment Text Char"/>
    <w:link w:val="CommentText"/>
    <w:uiPriority w:val="99"/>
    <w:rPr>
      <w:rFonts w:ascii="Times New Roman" w:hAnsi="Times New Roman" w:cs="Times New Roman"/>
      <w:sz w:val="20"/>
      <w:szCs w:val="20"/>
    </w:rPr>
  </w:style>
  <w:style w:type="paragraph" w:styleId="BalloonText">
    <w:name w:val="Balloon Text"/>
    <w:basedOn w:val="Normal"/>
    <w:link w:val="BalloonTextChar"/>
    <w:uiPriority w:val="99"/>
    <w:semiHidden/>
    <w:unhideWhenUsed/>
    <w:pPr>
      <w:spacing w:after="0" w:line="240" w:lineRule="auto"/>
      <w:jc w:val="both"/>
    </w:pPr>
    <w:rPr>
      <w:rFonts w:ascii="Segoe UI" w:hAnsi="Segoe UI" w:cs="Segoe UI"/>
      <w:sz w:val="18"/>
      <w:szCs w:val="18"/>
    </w:rPr>
  </w:style>
  <w:style w:type="character" w:customStyle="1" w:styleId="BalloonTextChar">
    <w:name w:val="Balloon Text Char"/>
    <w:link w:val="BalloonText"/>
    <w:uiPriority w:val="99"/>
    <w:semiHidden/>
    <w:rPr>
      <w:rFonts w:ascii="Segoe UI" w:hAnsi="Segoe UI" w:cs="Segoe UI"/>
      <w:sz w:val="18"/>
      <w:szCs w:val="18"/>
    </w:rPr>
  </w:style>
  <w:style w:type="paragraph" w:styleId="ListBullet">
    <w:name w:val="List Bullet"/>
    <w:basedOn w:val="Normal"/>
    <w:uiPriority w:val="99"/>
    <w:unhideWhenUsed/>
    <w:pPr>
      <w:numPr>
        <w:numId w:val="1"/>
      </w:numPr>
      <w:spacing w:before="120" w:after="120" w:line="240" w:lineRule="auto"/>
      <w:contextualSpacing/>
      <w:jc w:val="both"/>
    </w:pPr>
    <w:rPr>
      <w:rFonts w:ascii="Times New Roman" w:hAnsi="Times New Roman"/>
      <w:sz w:val="24"/>
    </w:rPr>
  </w:style>
  <w:style w:type="paragraph" w:styleId="ListBullet2">
    <w:name w:val="List Bullet 2"/>
    <w:basedOn w:val="Normal"/>
    <w:uiPriority w:val="99"/>
    <w:semiHidden/>
    <w:unhideWhenUsed/>
    <w:pPr>
      <w:numPr>
        <w:numId w:val="2"/>
      </w:numPr>
      <w:spacing w:before="120" w:after="120" w:line="240" w:lineRule="auto"/>
      <w:contextualSpacing/>
      <w:jc w:val="both"/>
    </w:pPr>
    <w:rPr>
      <w:rFonts w:ascii="Times New Roman" w:hAnsi="Times New Roman"/>
      <w:sz w:val="24"/>
    </w:rPr>
  </w:style>
  <w:style w:type="paragraph" w:styleId="ListBullet3">
    <w:name w:val="List Bullet 3"/>
    <w:basedOn w:val="Normal"/>
    <w:uiPriority w:val="99"/>
    <w:semiHidden/>
    <w:unhideWhenUsed/>
    <w:pPr>
      <w:numPr>
        <w:numId w:val="3"/>
      </w:numPr>
      <w:spacing w:before="120" w:after="120" w:line="240" w:lineRule="auto"/>
      <w:contextualSpacing/>
      <w:jc w:val="both"/>
    </w:pPr>
    <w:rPr>
      <w:rFonts w:ascii="Times New Roman" w:hAnsi="Times New Roman"/>
      <w:sz w:val="24"/>
    </w:rPr>
  </w:style>
  <w:style w:type="paragraph" w:styleId="ListBullet4">
    <w:name w:val="List Bullet 4"/>
    <w:basedOn w:val="Normal"/>
    <w:uiPriority w:val="99"/>
    <w:semiHidden/>
    <w:unhideWhenUsed/>
    <w:pPr>
      <w:numPr>
        <w:numId w:val="4"/>
      </w:numPr>
      <w:spacing w:before="120" w:after="120" w:line="240" w:lineRule="auto"/>
      <w:contextualSpacing/>
      <w:jc w:val="both"/>
    </w:pPr>
    <w:rPr>
      <w:rFonts w:ascii="Times New Roman" w:hAnsi="Times New Roman"/>
      <w:sz w:val="24"/>
    </w:rPr>
  </w:style>
  <w:style w:type="paragraph" w:styleId="ListParagraph">
    <w:name w:val="List Paragraph"/>
    <w:basedOn w:val="Normal"/>
    <w:uiPriority w:val="34"/>
    <w:qFormat/>
    <w:pPr>
      <w:spacing w:after="160" w:line="259" w:lineRule="auto"/>
      <w:ind w:left="720"/>
      <w:contextualSpacing/>
    </w:p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rFonts w:ascii="Times New Roman" w:hAnsi="Times New Roman" w:cs="Times New Roman"/>
      <w:b/>
      <w:bCs/>
      <w:sz w:val="20"/>
      <w:szCs w:val="20"/>
    </w:rPr>
  </w:style>
  <w:style w:type="paragraph" w:customStyle="1" w:styleId="Titreobjet">
    <w:name w:val="Titre objet"/>
    <w:basedOn w:val="Normal"/>
    <w:next w:val="IntrtEEE"/>
    <w:pPr>
      <w:spacing w:before="360" w:after="360" w:line="240" w:lineRule="auto"/>
      <w:jc w:val="center"/>
    </w:pPr>
    <w:rPr>
      <w:rFonts w:ascii="Times New Roman" w:hAnsi="Times New Roman"/>
      <w:b/>
      <w:sz w:val="24"/>
    </w:rPr>
  </w:style>
  <w:style w:type="paragraph" w:customStyle="1" w:styleId="TitreobjetPagedecouverture">
    <w:name w:val="Titre objet (Page de couverture)"/>
    <w:basedOn w:val="Titreobjet"/>
    <w:next w:val="IntrtEEEPagedecouverture"/>
  </w:style>
  <w:style w:type="paragraph" w:styleId="Caption">
    <w:name w:val="caption"/>
    <w:basedOn w:val="Normal"/>
    <w:next w:val="Normal"/>
    <w:uiPriority w:val="35"/>
    <w:semiHidden/>
    <w:unhideWhenUsed/>
    <w:qFormat/>
    <w:pPr>
      <w:spacing w:line="240" w:lineRule="auto"/>
      <w:jc w:val="both"/>
    </w:pPr>
    <w:rPr>
      <w:rFonts w:ascii="Times New Roman" w:hAnsi="Times New Roman"/>
      <w:i/>
      <w:iCs/>
      <w:color w:val="1F497D"/>
      <w:sz w:val="18"/>
      <w:szCs w:val="18"/>
    </w:rPr>
  </w:style>
  <w:style w:type="paragraph" w:styleId="TableofFigures">
    <w:name w:val="table of figures"/>
    <w:basedOn w:val="Normal"/>
    <w:next w:val="Normal"/>
    <w:uiPriority w:val="99"/>
    <w:semiHidden/>
    <w:unhideWhenUsed/>
    <w:pPr>
      <w:spacing w:before="120" w:after="0" w:line="240" w:lineRule="auto"/>
      <w:jc w:val="both"/>
    </w:pPr>
    <w:rPr>
      <w:rFonts w:ascii="Times New Roman" w:hAnsi="Times New Roman"/>
      <w:sz w:val="24"/>
    </w:rPr>
  </w:style>
  <w:style w:type="paragraph" w:styleId="ListNumber">
    <w:name w:val="List Number"/>
    <w:basedOn w:val="Normal"/>
    <w:uiPriority w:val="99"/>
    <w:semiHidden/>
    <w:unhideWhenUsed/>
    <w:pPr>
      <w:numPr>
        <w:numId w:val="5"/>
      </w:numPr>
      <w:spacing w:before="120" w:after="120" w:line="240" w:lineRule="auto"/>
      <w:contextualSpacing/>
      <w:jc w:val="both"/>
    </w:pPr>
    <w:rPr>
      <w:rFonts w:ascii="Times New Roman" w:hAnsi="Times New Roman"/>
      <w:sz w:val="24"/>
    </w:rPr>
  </w:style>
  <w:style w:type="paragraph" w:styleId="ListNumber2">
    <w:name w:val="List Number 2"/>
    <w:basedOn w:val="Normal"/>
    <w:uiPriority w:val="99"/>
    <w:semiHidden/>
    <w:unhideWhenUsed/>
    <w:pPr>
      <w:numPr>
        <w:numId w:val="6"/>
      </w:numPr>
      <w:spacing w:before="120" w:after="120" w:line="240" w:lineRule="auto"/>
      <w:contextualSpacing/>
      <w:jc w:val="both"/>
    </w:pPr>
    <w:rPr>
      <w:rFonts w:ascii="Times New Roman" w:hAnsi="Times New Roman"/>
      <w:sz w:val="24"/>
    </w:rPr>
  </w:style>
  <w:style w:type="paragraph" w:styleId="ListNumber3">
    <w:name w:val="List Number 3"/>
    <w:basedOn w:val="Normal"/>
    <w:uiPriority w:val="99"/>
    <w:semiHidden/>
    <w:unhideWhenUsed/>
    <w:pPr>
      <w:numPr>
        <w:numId w:val="7"/>
      </w:numPr>
      <w:spacing w:before="120" w:after="120" w:line="240" w:lineRule="auto"/>
      <w:contextualSpacing/>
      <w:jc w:val="both"/>
    </w:pPr>
    <w:rPr>
      <w:rFonts w:ascii="Times New Roman" w:hAnsi="Times New Roman"/>
      <w:sz w:val="24"/>
    </w:rPr>
  </w:style>
  <w:style w:type="paragraph" w:styleId="ListNumber4">
    <w:name w:val="List Number 4"/>
    <w:basedOn w:val="Normal"/>
    <w:uiPriority w:val="99"/>
    <w:semiHidden/>
    <w:unhideWhenUsed/>
    <w:pPr>
      <w:numPr>
        <w:numId w:val="8"/>
      </w:numPr>
      <w:spacing w:before="120" w:after="120" w:line="240" w:lineRule="auto"/>
      <w:contextualSpacing/>
      <w:jc w:val="both"/>
    </w:pPr>
    <w:rPr>
      <w:rFonts w:ascii="Times New Roman" w:hAnsi="Times New Roman"/>
      <w:sz w:val="24"/>
    </w:rPr>
  </w:style>
  <w:style w:type="character" w:styleId="Hyperlink">
    <w:name w:val="Hyperlink"/>
    <w:uiPriority w:val="99"/>
    <w:unhideWhenUsed/>
    <w:rPr>
      <w:color w:val="0000FF"/>
      <w:u w:val="single"/>
    </w:rPr>
  </w:style>
  <w:style w:type="paragraph" w:customStyle="1" w:styleId="Normal1">
    <w:name w:val="Normal1"/>
    <w:basedOn w:val="Normal"/>
    <w:pPr>
      <w:spacing w:before="100" w:beforeAutospacing="1" w:after="100" w:afterAutospacing="1" w:line="240" w:lineRule="auto"/>
    </w:pPr>
    <w:rPr>
      <w:rFonts w:ascii="Times New Roman" w:eastAsia="Times New Roman" w:hAnsi="Times New Roman"/>
      <w:sz w:val="24"/>
      <w:szCs w:val="24"/>
      <w:lang w:eastAsia="en-GB"/>
    </w:rPr>
  </w:style>
  <w:style w:type="character" w:styleId="Emphasis">
    <w:name w:val="Emphasis"/>
    <w:uiPriority w:val="20"/>
    <w:qFormat/>
    <w:rPr>
      <w:i/>
      <w:iCs/>
    </w:rPr>
  </w:style>
  <w:style w:type="paragraph" w:styleId="FootnoteText">
    <w:name w:val="footnote text"/>
    <w:basedOn w:val="Normal"/>
    <w:link w:val="FootnoteTextChar"/>
    <w:uiPriority w:val="99"/>
    <w:semiHidden/>
    <w:unhideWhenUsed/>
    <w:pPr>
      <w:spacing w:after="0" w:line="240" w:lineRule="auto"/>
      <w:ind w:left="720" w:hanging="720"/>
      <w:jc w:val="both"/>
    </w:pPr>
    <w:rPr>
      <w:rFonts w:ascii="Times New Roman" w:hAnsi="Times New Roman"/>
      <w:sz w:val="20"/>
      <w:szCs w:val="20"/>
    </w:rPr>
  </w:style>
  <w:style w:type="character" w:customStyle="1" w:styleId="FootnoteTextChar">
    <w:name w:val="Footnote Text Char"/>
    <w:link w:val="FootnoteText"/>
    <w:uiPriority w:val="99"/>
    <w:semiHidden/>
    <w:rPr>
      <w:rFonts w:ascii="Times New Roman" w:hAnsi="Times New Roman" w:cs="Times New Roman"/>
      <w:sz w:val="20"/>
      <w:szCs w:val="20"/>
    </w:rPr>
  </w:style>
  <w:style w:type="paragraph" w:styleId="TOCHeading">
    <w:name w:val="TOC Heading"/>
    <w:basedOn w:val="Normal"/>
    <w:next w:val="Normal"/>
    <w:uiPriority w:val="39"/>
    <w:semiHidden/>
    <w:unhideWhenUsed/>
    <w:qFormat/>
    <w:pPr>
      <w:spacing w:before="120" w:after="240" w:line="240" w:lineRule="auto"/>
      <w:jc w:val="center"/>
    </w:pPr>
    <w:rPr>
      <w:rFonts w:ascii="Times New Roman" w:hAnsi="Times New Roman"/>
      <w:b/>
      <w:sz w:val="28"/>
    </w:rPr>
  </w:style>
  <w:style w:type="paragraph" w:styleId="TOC1">
    <w:name w:val="toc 1"/>
    <w:basedOn w:val="Normal"/>
    <w:next w:val="Normal"/>
    <w:uiPriority w:val="39"/>
    <w:semiHidden/>
    <w:unhideWhenUsed/>
    <w:pPr>
      <w:tabs>
        <w:tab w:val="right" w:leader="dot" w:pos="9071"/>
      </w:tabs>
      <w:spacing w:before="60" w:after="120" w:line="240" w:lineRule="auto"/>
      <w:ind w:left="850" w:hanging="850"/>
    </w:pPr>
    <w:rPr>
      <w:rFonts w:ascii="Times New Roman" w:hAnsi="Times New Roman"/>
      <w:sz w:val="24"/>
    </w:rPr>
  </w:style>
  <w:style w:type="paragraph" w:styleId="TOC2">
    <w:name w:val="toc 2"/>
    <w:basedOn w:val="Normal"/>
    <w:next w:val="Normal"/>
    <w:uiPriority w:val="39"/>
    <w:semiHidden/>
    <w:unhideWhenUsed/>
    <w:pPr>
      <w:tabs>
        <w:tab w:val="right" w:leader="dot" w:pos="9071"/>
      </w:tabs>
      <w:spacing w:before="60" w:after="120" w:line="240" w:lineRule="auto"/>
      <w:ind w:left="850" w:hanging="850"/>
    </w:pPr>
    <w:rPr>
      <w:rFonts w:ascii="Times New Roman" w:hAnsi="Times New Roman"/>
      <w:sz w:val="24"/>
    </w:rPr>
  </w:style>
  <w:style w:type="paragraph" w:styleId="TOC3">
    <w:name w:val="toc 3"/>
    <w:basedOn w:val="Normal"/>
    <w:next w:val="Normal"/>
    <w:uiPriority w:val="39"/>
    <w:semiHidden/>
    <w:unhideWhenUsed/>
    <w:pPr>
      <w:tabs>
        <w:tab w:val="right" w:leader="dot" w:pos="9071"/>
      </w:tabs>
      <w:spacing w:before="60" w:after="120" w:line="240" w:lineRule="auto"/>
      <w:ind w:left="850" w:hanging="850"/>
    </w:pPr>
    <w:rPr>
      <w:rFonts w:ascii="Times New Roman" w:hAnsi="Times New Roman"/>
      <w:sz w:val="24"/>
    </w:rPr>
  </w:style>
  <w:style w:type="paragraph" w:styleId="TOC4">
    <w:name w:val="toc 4"/>
    <w:basedOn w:val="Normal"/>
    <w:next w:val="Normal"/>
    <w:uiPriority w:val="39"/>
    <w:semiHidden/>
    <w:unhideWhenUsed/>
    <w:pPr>
      <w:tabs>
        <w:tab w:val="right" w:leader="dot" w:pos="9071"/>
      </w:tabs>
      <w:spacing w:before="60" w:after="120" w:line="240" w:lineRule="auto"/>
      <w:ind w:left="850" w:hanging="850"/>
    </w:pPr>
    <w:rPr>
      <w:rFonts w:ascii="Times New Roman" w:hAnsi="Times New Roman"/>
      <w:sz w:val="24"/>
    </w:rPr>
  </w:style>
  <w:style w:type="paragraph" w:styleId="TOC5">
    <w:name w:val="toc 5"/>
    <w:basedOn w:val="Normal"/>
    <w:next w:val="Normal"/>
    <w:uiPriority w:val="39"/>
    <w:semiHidden/>
    <w:unhideWhenUsed/>
    <w:pPr>
      <w:tabs>
        <w:tab w:val="right" w:leader="dot" w:pos="9071"/>
      </w:tabs>
      <w:spacing w:before="300" w:after="120" w:line="240" w:lineRule="auto"/>
    </w:pPr>
    <w:rPr>
      <w:rFonts w:ascii="Times New Roman" w:hAnsi="Times New Roman"/>
      <w:sz w:val="24"/>
    </w:rPr>
  </w:style>
  <w:style w:type="paragraph" w:styleId="TOC6">
    <w:name w:val="toc 6"/>
    <w:basedOn w:val="Normal"/>
    <w:next w:val="Normal"/>
    <w:uiPriority w:val="39"/>
    <w:semiHidden/>
    <w:unhideWhenUsed/>
    <w:pPr>
      <w:tabs>
        <w:tab w:val="right" w:leader="dot" w:pos="9071"/>
      </w:tabs>
      <w:spacing w:before="240" w:after="120" w:line="240" w:lineRule="auto"/>
    </w:pPr>
    <w:rPr>
      <w:rFonts w:ascii="Times New Roman" w:hAnsi="Times New Roman"/>
      <w:sz w:val="24"/>
    </w:rPr>
  </w:style>
  <w:style w:type="paragraph" w:styleId="TOC7">
    <w:name w:val="toc 7"/>
    <w:basedOn w:val="Normal"/>
    <w:next w:val="Normal"/>
    <w:uiPriority w:val="39"/>
    <w:semiHidden/>
    <w:unhideWhenUsed/>
    <w:pPr>
      <w:tabs>
        <w:tab w:val="right" w:leader="dot" w:pos="9071"/>
      </w:tabs>
      <w:spacing w:before="180" w:after="120" w:line="240" w:lineRule="auto"/>
    </w:pPr>
    <w:rPr>
      <w:rFonts w:ascii="Times New Roman" w:hAnsi="Times New Roman"/>
      <w:sz w:val="24"/>
    </w:rPr>
  </w:style>
  <w:style w:type="paragraph" w:styleId="TOC8">
    <w:name w:val="toc 8"/>
    <w:basedOn w:val="Normal"/>
    <w:next w:val="Normal"/>
    <w:uiPriority w:val="39"/>
    <w:semiHidden/>
    <w:unhideWhenUsed/>
    <w:pPr>
      <w:tabs>
        <w:tab w:val="right" w:leader="dot" w:pos="9071"/>
      </w:tabs>
      <w:spacing w:before="120" w:after="120" w:line="240" w:lineRule="auto"/>
    </w:pPr>
    <w:rPr>
      <w:rFonts w:ascii="Times New Roman" w:hAnsi="Times New Roman"/>
      <w:sz w:val="24"/>
    </w:rPr>
  </w:style>
  <w:style w:type="paragraph" w:styleId="TOC9">
    <w:name w:val="toc 9"/>
    <w:basedOn w:val="Normal"/>
    <w:next w:val="Normal"/>
    <w:uiPriority w:val="39"/>
    <w:semiHidden/>
    <w:unhideWhenUsed/>
    <w:pPr>
      <w:tabs>
        <w:tab w:val="right" w:leader="dot" w:pos="9071"/>
      </w:tabs>
      <w:spacing w:before="120" w:after="120" w:line="240" w:lineRule="auto"/>
      <w:jc w:val="both"/>
    </w:pPr>
    <w:rPr>
      <w:rFonts w:ascii="Times New Roman" w:hAnsi="Times New Roman"/>
      <w:sz w:val="24"/>
    </w:rPr>
  </w:style>
  <w:style w:type="paragraph" w:customStyle="1" w:styleId="HeaderLandscape">
    <w:name w:val="HeaderLandscape"/>
    <w:basedOn w:val="Normal"/>
    <w:pPr>
      <w:tabs>
        <w:tab w:val="center" w:pos="7285"/>
        <w:tab w:val="right" w:pos="14003"/>
      </w:tabs>
      <w:spacing w:after="120" w:line="240" w:lineRule="auto"/>
      <w:jc w:val="both"/>
    </w:pPr>
    <w:rPr>
      <w:rFonts w:ascii="Times New Roman" w:hAnsi="Times New Roman"/>
      <w:sz w:val="24"/>
    </w:rPr>
  </w:style>
  <w:style w:type="paragraph" w:customStyle="1" w:styleId="FooterLandscape">
    <w:name w:val="FooterLandscape"/>
    <w:basedOn w:val="Normal"/>
    <w:pPr>
      <w:tabs>
        <w:tab w:val="center" w:pos="7285"/>
        <w:tab w:val="center" w:pos="10913"/>
        <w:tab w:val="right" w:pos="15137"/>
      </w:tabs>
      <w:spacing w:before="360" w:after="0" w:line="240" w:lineRule="auto"/>
      <w:ind w:left="-567" w:right="-567"/>
    </w:pPr>
    <w:rPr>
      <w:rFonts w:ascii="Times New Roman" w:hAnsi="Times New Roman"/>
      <w:sz w:val="24"/>
    </w:rPr>
  </w:style>
  <w:style w:type="character" w:styleId="FootnoteReference">
    <w:name w:val="footnote reference"/>
    <w:uiPriority w:val="99"/>
    <w:semiHidden/>
    <w:unhideWhenUsed/>
    <w:rPr>
      <w:shd w:val="clear" w:color="auto" w:fill="auto"/>
      <w:vertAlign w:val="superscript"/>
    </w:rPr>
  </w:style>
  <w:style w:type="paragraph" w:customStyle="1" w:styleId="Text1">
    <w:name w:val="Text 1"/>
    <w:basedOn w:val="Normal"/>
    <w:pPr>
      <w:spacing w:before="120" w:after="120" w:line="240" w:lineRule="auto"/>
      <w:ind w:left="850"/>
      <w:jc w:val="both"/>
    </w:pPr>
    <w:rPr>
      <w:rFonts w:ascii="Times New Roman" w:hAnsi="Times New Roman"/>
      <w:sz w:val="24"/>
    </w:rPr>
  </w:style>
  <w:style w:type="paragraph" w:customStyle="1" w:styleId="Text2">
    <w:name w:val="Text 2"/>
    <w:basedOn w:val="Normal"/>
    <w:pPr>
      <w:spacing w:before="120" w:after="120" w:line="240" w:lineRule="auto"/>
      <w:ind w:left="1417"/>
      <w:jc w:val="both"/>
    </w:pPr>
    <w:rPr>
      <w:rFonts w:ascii="Times New Roman" w:hAnsi="Times New Roman"/>
      <w:sz w:val="24"/>
    </w:rPr>
  </w:style>
  <w:style w:type="paragraph" w:customStyle="1" w:styleId="Text3">
    <w:name w:val="Text 3"/>
    <w:basedOn w:val="Normal"/>
    <w:pPr>
      <w:spacing w:before="120" w:after="120" w:line="240" w:lineRule="auto"/>
      <w:ind w:left="1984"/>
      <w:jc w:val="both"/>
    </w:pPr>
    <w:rPr>
      <w:rFonts w:ascii="Times New Roman" w:hAnsi="Times New Roman"/>
      <w:sz w:val="24"/>
    </w:rPr>
  </w:style>
  <w:style w:type="paragraph" w:customStyle="1" w:styleId="Text4">
    <w:name w:val="Text 4"/>
    <w:basedOn w:val="Normal"/>
    <w:pPr>
      <w:spacing w:before="120" w:after="120" w:line="240" w:lineRule="auto"/>
      <w:ind w:left="2551"/>
      <w:jc w:val="both"/>
    </w:pPr>
    <w:rPr>
      <w:rFonts w:ascii="Times New Roman" w:hAnsi="Times New Roman"/>
      <w:sz w:val="24"/>
    </w:rPr>
  </w:style>
  <w:style w:type="paragraph" w:customStyle="1" w:styleId="NormalCentered">
    <w:name w:val="Normal Centered"/>
    <w:basedOn w:val="Normal"/>
    <w:pPr>
      <w:spacing w:before="120" w:after="120" w:line="240" w:lineRule="auto"/>
      <w:jc w:val="center"/>
    </w:pPr>
    <w:rPr>
      <w:rFonts w:ascii="Times New Roman" w:hAnsi="Times New Roman"/>
      <w:sz w:val="24"/>
    </w:rPr>
  </w:style>
  <w:style w:type="paragraph" w:customStyle="1" w:styleId="NormalLeft">
    <w:name w:val="Normal Left"/>
    <w:basedOn w:val="Normal"/>
    <w:pPr>
      <w:spacing w:before="120" w:after="120" w:line="240" w:lineRule="auto"/>
    </w:pPr>
    <w:rPr>
      <w:rFonts w:ascii="Times New Roman" w:hAnsi="Times New Roman"/>
      <w:sz w:val="24"/>
    </w:rPr>
  </w:style>
  <w:style w:type="paragraph" w:customStyle="1" w:styleId="NormalRight">
    <w:name w:val="Normal Right"/>
    <w:basedOn w:val="Normal"/>
    <w:pPr>
      <w:spacing w:before="120" w:after="120" w:line="240" w:lineRule="auto"/>
      <w:jc w:val="right"/>
    </w:pPr>
    <w:rPr>
      <w:rFonts w:ascii="Times New Roman" w:hAnsi="Times New Roman"/>
      <w:sz w:val="24"/>
    </w:rPr>
  </w:style>
  <w:style w:type="paragraph" w:customStyle="1" w:styleId="QuotedText">
    <w:name w:val="Quoted Text"/>
    <w:basedOn w:val="Normal"/>
    <w:pPr>
      <w:spacing w:before="120" w:after="120" w:line="240" w:lineRule="auto"/>
      <w:ind w:left="1417"/>
      <w:jc w:val="both"/>
    </w:pPr>
    <w:rPr>
      <w:rFonts w:ascii="Times New Roman" w:hAnsi="Times New Roman"/>
      <w:sz w:val="24"/>
    </w:rPr>
  </w:style>
  <w:style w:type="paragraph" w:customStyle="1" w:styleId="Point0">
    <w:name w:val="Point 0"/>
    <w:basedOn w:val="Normal"/>
    <w:pPr>
      <w:spacing w:before="120" w:after="120" w:line="240" w:lineRule="auto"/>
      <w:ind w:left="850" w:hanging="850"/>
      <w:jc w:val="both"/>
    </w:pPr>
    <w:rPr>
      <w:rFonts w:ascii="Times New Roman" w:hAnsi="Times New Roman"/>
      <w:sz w:val="24"/>
    </w:rPr>
  </w:style>
  <w:style w:type="paragraph" w:customStyle="1" w:styleId="Point1">
    <w:name w:val="Point 1"/>
    <w:basedOn w:val="Normal"/>
    <w:pPr>
      <w:spacing w:before="120" w:after="120" w:line="240" w:lineRule="auto"/>
      <w:ind w:left="1417" w:hanging="567"/>
      <w:jc w:val="both"/>
    </w:pPr>
    <w:rPr>
      <w:rFonts w:ascii="Times New Roman" w:hAnsi="Times New Roman"/>
      <w:sz w:val="24"/>
    </w:rPr>
  </w:style>
  <w:style w:type="paragraph" w:customStyle="1" w:styleId="Point2">
    <w:name w:val="Point 2"/>
    <w:basedOn w:val="Normal"/>
    <w:pPr>
      <w:spacing w:before="120" w:after="120" w:line="240" w:lineRule="auto"/>
      <w:ind w:left="1984" w:hanging="567"/>
      <w:jc w:val="both"/>
    </w:pPr>
    <w:rPr>
      <w:rFonts w:ascii="Times New Roman" w:hAnsi="Times New Roman"/>
      <w:sz w:val="24"/>
    </w:rPr>
  </w:style>
  <w:style w:type="paragraph" w:customStyle="1" w:styleId="Point3">
    <w:name w:val="Point 3"/>
    <w:basedOn w:val="Normal"/>
    <w:pPr>
      <w:spacing w:before="120" w:after="120" w:line="240" w:lineRule="auto"/>
      <w:ind w:left="2551" w:hanging="567"/>
      <w:jc w:val="both"/>
    </w:pPr>
    <w:rPr>
      <w:rFonts w:ascii="Times New Roman" w:hAnsi="Times New Roman"/>
      <w:sz w:val="24"/>
    </w:rPr>
  </w:style>
  <w:style w:type="paragraph" w:customStyle="1" w:styleId="Point4">
    <w:name w:val="Point 4"/>
    <w:basedOn w:val="Normal"/>
    <w:pPr>
      <w:spacing w:before="120" w:after="120" w:line="240" w:lineRule="auto"/>
      <w:ind w:left="3118" w:hanging="567"/>
      <w:jc w:val="both"/>
    </w:pPr>
    <w:rPr>
      <w:rFonts w:ascii="Times New Roman" w:hAnsi="Times New Roman"/>
      <w:sz w:val="24"/>
    </w:rPr>
  </w:style>
  <w:style w:type="paragraph" w:customStyle="1" w:styleId="Tiret0">
    <w:name w:val="Tiret 0"/>
    <w:basedOn w:val="Point0"/>
    <w:pPr>
      <w:tabs>
        <w:tab w:val="num" w:pos="720"/>
      </w:tabs>
      <w:ind w:left="720" w:hanging="720"/>
    </w:pPr>
  </w:style>
  <w:style w:type="paragraph" w:customStyle="1" w:styleId="Tiret1">
    <w:name w:val="Tiret 1"/>
    <w:basedOn w:val="Point1"/>
    <w:pPr>
      <w:tabs>
        <w:tab w:val="num" w:pos="720"/>
      </w:tabs>
      <w:ind w:left="720" w:hanging="720"/>
    </w:pPr>
  </w:style>
  <w:style w:type="paragraph" w:customStyle="1" w:styleId="Tiret2">
    <w:name w:val="Tiret 2"/>
    <w:basedOn w:val="Point2"/>
    <w:pPr>
      <w:tabs>
        <w:tab w:val="num" w:pos="720"/>
      </w:tabs>
      <w:ind w:left="720" w:hanging="720"/>
    </w:pPr>
  </w:style>
  <w:style w:type="paragraph" w:customStyle="1" w:styleId="Tiret3">
    <w:name w:val="Tiret 3"/>
    <w:basedOn w:val="Point3"/>
    <w:pPr>
      <w:tabs>
        <w:tab w:val="num" w:pos="720"/>
      </w:tabs>
      <w:ind w:left="720" w:hanging="720"/>
    </w:pPr>
  </w:style>
  <w:style w:type="paragraph" w:customStyle="1" w:styleId="Tiret4">
    <w:name w:val="Tiret 4"/>
    <w:basedOn w:val="Point4"/>
    <w:pPr>
      <w:tabs>
        <w:tab w:val="num" w:pos="720"/>
      </w:tabs>
      <w:ind w:left="720" w:hanging="720"/>
    </w:pPr>
  </w:style>
  <w:style w:type="paragraph" w:customStyle="1" w:styleId="PointDouble0">
    <w:name w:val="PointDouble 0"/>
    <w:basedOn w:val="Normal"/>
    <w:pPr>
      <w:tabs>
        <w:tab w:val="left" w:pos="850"/>
      </w:tabs>
      <w:spacing w:before="120" w:after="120" w:line="240" w:lineRule="auto"/>
      <w:ind w:left="1417" w:hanging="1417"/>
      <w:jc w:val="both"/>
    </w:pPr>
    <w:rPr>
      <w:rFonts w:ascii="Times New Roman" w:hAnsi="Times New Roman"/>
      <w:sz w:val="24"/>
    </w:rPr>
  </w:style>
  <w:style w:type="paragraph" w:customStyle="1" w:styleId="PointDouble1">
    <w:name w:val="PointDouble 1"/>
    <w:basedOn w:val="Normal"/>
    <w:pPr>
      <w:tabs>
        <w:tab w:val="left" w:pos="1417"/>
      </w:tabs>
      <w:spacing w:before="120" w:after="120" w:line="240" w:lineRule="auto"/>
      <w:ind w:left="1984" w:hanging="1134"/>
      <w:jc w:val="both"/>
    </w:pPr>
    <w:rPr>
      <w:rFonts w:ascii="Times New Roman" w:hAnsi="Times New Roman"/>
      <w:sz w:val="24"/>
    </w:rPr>
  </w:style>
  <w:style w:type="paragraph" w:customStyle="1" w:styleId="PointDouble2">
    <w:name w:val="PointDouble 2"/>
    <w:basedOn w:val="Normal"/>
    <w:pPr>
      <w:tabs>
        <w:tab w:val="left" w:pos="1984"/>
      </w:tabs>
      <w:spacing w:before="120" w:after="120" w:line="240" w:lineRule="auto"/>
      <w:ind w:left="2551" w:hanging="1134"/>
      <w:jc w:val="both"/>
    </w:pPr>
    <w:rPr>
      <w:rFonts w:ascii="Times New Roman" w:hAnsi="Times New Roman"/>
      <w:sz w:val="24"/>
    </w:rPr>
  </w:style>
  <w:style w:type="paragraph" w:customStyle="1" w:styleId="PointDouble3">
    <w:name w:val="PointDouble 3"/>
    <w:basedOn w:val="Normal"/>
    <w:pPr>
      <w:tabs>
        <w:tab w:val="left" w:pos="2551"/>
      </w:tabs>
      <w:spacing w:before="120" w:after="120" w:line="240" w:lineRule="auto"/>
      <w:ind w:left="3118" w:hanging="1134"/>
      <w:jc w:val="both"/>
    </w:pPr>
    <w:rPr>
      <w:rFonts w:ascii="Times New Roman" w:hAnsi="Times New Roman"/>
      <w:sz w:val="24"/>
    </w:rPr>
  </w:style>
  <w:style w:type="paragraph" w:customStyle="1" w:styleId="PointDouble4">
    <w:name w:val="PointDouble 4"/>
    <w:basedOn w:val="Normal"/>
    <w:pPr>
      <w:tabs>
        <w:tab w:val="left" w:pos="3118"/>
      </w:tabs>
      <w:spacing w:before="120" w:after="120" w:line="240" w:lineRule="auto"/>
      <w:ind w:left="3685" w:hanging="1134"/>
      <w:jc w:val="both"/>
    </w:pPr>
    <w:rPr>
      <w:rFonts w:ascii="Times New Roman" w:hAnsi="Times New Roman"/>
      <w:sz w:val="24"/>
    </w:rPr>
  </w:style>
  <w:style w:type="paragraph" w:customStyle="1" w:styleId="PointTriple0">
    <w:name w:val="PointTriple 0"/>
    <w:basedOn w:val="Normal"/>
    <w:pPr>
      <w:tabs>
        <w:tab w:val="left" w:pos="850"/>
        <w:tab w:val="left" w:pos="1417"/>
      </w:tabs>
      <w:spacing w:before="120" w:after="120" w:line="240" w:lineRule="auto"/>
      <w:ind w:left="1984" w:hanging="1984"/>
      <w:jc w:val="both"/>
    </w:pPr>
    <w:rPr>
      <w:rFonts w:ascii="Times New Roman" w:hAnsi="Times New Roman"/>
      <w:sz w:val="24"/>
    </w:rPr>
  </w:style>
  <w:style w:type="paragraph" w:customStyle="1" w:styleId="PointTriple1">
    <w:name w:val="PointTriple 1"/>
    <w:basedOn w:val="Normal"/>
    <w:pPr>
      <w:tabs>
        <w:tab w:val="left" w:pos="1417"/>
        <w:tab w:val="left" w:pos="1984"/>
      </w:tabs>
      <w:spacing w:before="120" w:after="120" w:line="240" w:lineRule="auto"/>
      <w:ind w:left="2551" w:hanging="1701"/>
      <w:jc w:val="both"/>
    </w:pPr>
    <w:rPr>
      <w:rFonts w:ascii="Times New Roman" w:hAnsi="Times New Roman"/>
      <w:sz w:val="24"/>
    </w:rPr>
  </w:style>
  <w:style w:type="paragraph" w:customStyle="1" w:styleId="PointTriple2">
    <w:name w:val="PointTriple 2"/>
    <w:basedOn w:val="Normal"/>
    <w:pPr>
      <w:tabs>
        <w:tab w:val="left" w:pos="1984"/>
        <w:tab w:val="left" w:pos="2551"/>
      </w:tabs>
      <w:spacing w:before="120" w:after="120" w:line="240" w:lineRule="auto"/>
      <w:ind w:left="3118" w:hanging="1701"/>
      <w:jc w:val="both"/>
    </w:pPr>
    <w:rPr>
      <w:rFonts w:ascii="Times New Roman" w:hAnsi="Times New Roman"/>
      <w:sz w:val="24"/>
    </w:rPr>
  </w:style>
  <w:style w:type="paragraph" w:customStyle="1" w:styleId="PointTriple3">
    <w:name w:val="PointTriple 3"/>
    <w:basedOn w:val="Normal"/>
    <w:pPr>
      <w:tabs>
        <w:tab w:val="left" w:pos="2551"/>
        <w:tab w:val="left" w:pos="3118"/>
      </w:tabs>
      <w:spacing w:before="120" w:after="120" w:line="240" w:lineRule="auto"/>
      <w:ind w:left="3685" w:hanging="1701"/>
      <w:jc w:val="both"/>
    </w:pPr>
    <w:rPr>
      <w:rFonts w:ascii="Times New Roman" w:hAnsi="Times New Roman"/>
      <w:sz w:val="24"/>
    </w:rPr>
  </w:style>
  <w:style w:type="paragraph" w:customStyle="1" w:styleId="PointTriple4">
    <w:name w:val="PointTriple 4"/>
    <w:basedOn w:val="Normal"/>
    <w:pPr>
      <w:tabs>
        <w:tab w:val="left" w:pos="3118"/>
        <w:tab w:val="left" w:pos="3685"/>
      </w:tabs>
      <w:spacing w:before="120" w:after="120" w:line="240" w:lineRule="auto"/>
      <w:ind w:left="4252" w:hanging="1701"/>
      <w:jc w:val="both"/>
    </w:pPr>
    <w:rPr>
      <w:rFonts w:ascii="Times New Roman" w:hAnsi="Times New Roman"/>
      <w:sz w:val="24"/>
    </w:rPr>
  </w:style>
  <w:style w:type="paragraph" w:customStyle="1" w:styleId="NumPar1">
    <w:name w:val="NumPar 1"/>
    <w:basedOn w:val="Normal"/>
    <w:next w:val="Text1"/>
    <w:pPr>
      <w:tabs>
        <w:tab w:val="num" w:pos="720"/>
      </w:tabs>
      <w:spacing w:before="120" w:after="120" w:line="240" w:lineRule="auto"/>
      <w:ind w:left="720" w:hanging="720"/>
      <w:jc w:val="both"/>
    </w:pPr>
    <w:rPr>
      <w:rFonts w:ascii="Times New Roman" w:hAnsi="Times New Roman"/>
      <w:sz w:val="24"/>
    </w:rPr>
  </w:style>
  <w:style w:type="paragraph" w:customStyle="1" w:styleId="NumPar2">
    <w:name w:val="NumPar 2"/>
    <w:basedOn w:val="Normal"/>
    <w:next w:val="Text1"/>
    <w:pPr>
      <w:tabs>
        <w:tab w:val="num" w:pos="1440"/>
      </w:tabs>
      <w:spacing w:before="120" w:after="120" w:line="240" w:lineRule="auto"/>
      <w:ind w:left="1440" w:hanging="720"/>
      <w:jc w:val="both"/>
    </w:pPr>
    <w:rPr>
      <w:rFonts w:ascii="Times New Roman" w:hAnsi="Times New Roman"/>
      <w:sz w:val="24"/>
    </w:rPr>
  </w:style>
  <w:style w:type="paragraph" w:customStyle="1" w:styleId="NumPar3">
    <w:name w:val="NumPar 3"/>
    <w:basedOn w:val="Normal"/>
    <w:next w:val="Text1"/>
    <w:pPr>
      <w:tabs>
        <w:tab w:val="num" w:pos="2160"/>
      </w:tabs>
      <w:spacing w:before="120" w:after="120" w:line="240" w:lineRule="auto"/>
      <w:ind w:left="2160" w:hanging="720"/>
      <w:jc w:val="both"/>
    </w:pPr>
    <w:rPr>
      <w:rFonts w:ascii="Times New Roman" w:hAnsi="Times New Roman"/>
      <w:sz w:val="24"/>
    </w:rPr>
  </w:style>
  <w:style w:type="paragraph" w:customStyle="1" w:styleId="NumPar4">
    <w:name w:val="NumPar 4"/>
    <w:basedOn w:val="Normal"/>
    <w:next w:val="Text1"/>
    <w:pPr>
      <w:tabs>
        <w:tab w:val="num" w:pos="2880"/>
      </w:tabs>
      <w:spacing w:before="120" w:after="120" w:line="240" w:lineRule="auto"/>
      <w:ind w:left="2880" w:hanging="720"/>
      <w:jc w:val="both"/>
    </w:pPr>
    <w:rPr>
      <w:rFonts w:ascii="Times New Roman" w:hAnsi="Times New Roman"/>
      <w:sz w:val="24"/>
    </w:rPr>
  </w:style>
  <w:style w:type="paragraph" w:customStyle="1" w:styleId="ManualNumPar1">
    <w:name w:val="Manual NumPar 1"/>
    <w:basedOn w:val="Normal"/>
    <w:next w:val="Text1"/>
    <w:pPr>
      <w:spacing w:before="120" w:after="120" w:line="240" w:lineRule="auto"/>
      <w:ind w:left="850" w:hanging="850"/>
      <w:jc w:val="both"/>
    </w:pPr>
    <w:rPr>
      <w:rFonts w:ascii="Times New Roman" w:hAnsi="Times New Roman"/>
      <w:sz w:val="24"/>
    </w:rPr>
  </w:style>
  <w:style w:type="paragraph" w:customStyle="1" w:styleId="ManualNumPar2">
    <w:name w:val="Manual NumPar 2"/>
    <w:basedOn w:val="Normal"/>
    <w:next w:val="Text1"/>
    <w:pPr>
      <w:spacing w:before="120" w:after="120" w:line="240" w:lineRule="auto"/>
      <w:ind w:left="850" w:hanging="850"/>
      <w:jc w:val="both"/>
    </w:pPr>
    <w:rPr>
      <w:rFonts w:ascii="Times New Roman" w:hAnsi="Times New Roman"/>
      <w:sz w:val="24"/>
    </w:rPr>
  </w:style>
  <w:style w:type="paragraph" w:customStyle="1" w:styleId="ManualNumPar3">
    <w:name w:val="Manual NumPar 3"/>
    <w:basedOn w:val="Normal"/>
    <w:next w:val="Text1"/>
    <w:pPr>
      <w:spacing w:before="120" w:after="120" w:line="240" w:lineRule="auto"/>
      <w:ind w:left="850" w:hanging="850"/>
      <w:jc w:val="both"/>
    </w:pPr>
    <w:rPr>
      <w:rFonts w:ascii="Times New Roman" w:hAnsi="Times New Roman"/>
      <w:sz w:val="24"/>
    </w:rPr>
  </w:style>
  <w:style w:type="paragraph" w:customStyle="1" w:styleId="ManualNumPar4">
    <w:name w:val="Manual NumPar 4"/>
    <w:basedOn w:val="Normal"/>
    <w:next w:val="Text1"/>
    <w:pPr>
      <w:spacing w:before="120" w:after="120" w:line="240" w:lineRule="auto"/>
      <w:ind w:left="850" w:hanging="850"/>
      <w:jc w:val="both"/>
    </w:pPr>
    <w:rPr>
      <w:rFonts w:ascii="Times New Roman" w:hAnsi="Times New Roman"/>
      <w:sz w:val="24"/>
    </w:rPr>
  </w:style>
  <w:style w:type="paragraph" w:customStyle="1" w:styleId="QuotedNumPar">
    <w:name w:val="Quoted NumPar"/>
    <w:basedOn w:val="Normal"/>
    <w:pPr>
      <w:spacing w:before="120" w:after="120" w:line="240" w:lineRule="auto"/>
      <w:ind w:left="1417" w:hanging="567"/>
      <w:jc w:val="both"/>
    </w:pPr>
    <w:rPr>
      <w:rFonts w:ascii="Times New Roman" w:hAnsi="Times New Roman"/>
      <w:sz w:val="24"/>
    </w:rPr>
  </w:style>
  <w:style w:type="paragraph" w:customStyle="1" w:styleId="ManualHeading1">
    <w:name w:val="Manual Heading 1"/>
    <w:basedOn w:val="Normal"/>
    <w:next w:val="Text1"/>
    <w:pPr>
      <w:keepNext/>
      <w:tabs>
        <w:tab w:val="left" w:pos="850"/>
      </w:tabs>
      <w:spacing w:before="360" w:after="120" w:line="240" w:lineRule="auto"/>
      <w:ind w:left="850" w:hanging="850"/>
      <w:jc w:val="both"/>
      <w:outlineLvl w:val="0"/>
    </w:pPr>
    <w:rPr>
      <w:rFonts w:ascii="Times New Roman" w:hAnsi="Times New Roman"/>
      <w:b/>
      <w:smallCaps/>
      <w:sz w:val="24"/>
    </w:rPr>
  </w:style>
  <w:style w:type="paragraph" w:customStyle="1" w:styleId="ManualHeading2">
    <w:name w:val="Manual Heading 2"/>
    <w:basedOn w:val="Normal"/>
    <w:next w:val="Text1"/>
    <w:pPr>
      <w:keepNext/>
      <w:tabs>
        <w:tab w:val="left" w:pos="850"/>
      </w:tabs>
      <w:spacing w:before="120" w:after="120" w:line="240" w:lineRule="auto"/>
      <w:ind w:left="850" w:hanging="850"/>
      <w:jc w:val="both"/>
      <w:outlineLvl w:val="1"/>
    </w:pPr>
    <w:rPr>
      <w:rFonts w:ascii="Times New Roman" w:hAnsi="Times New Roman"/>
      <w:b/>
      <w:sz w:val="24"/>
    </w:rPr>
  </w:style>
  <w:style w:type="paragraph" w:customStyle="1" w:styleId="ManualHeading3">
    <w:name w:val="Manual Heading 3"/>
    <w:basedOn w:val="Normal"/>
    <w:next w:val="Text1"/>
    <w:pPr>
      <w:keepNext/>
      <w:tabs>
        <w:tab w:val="left" w:pos="850"/>
      </w:tabs>
      <w:spacing w:before="120" w:after="120" w:line="240" w:lineRule="auto"/>
      <w:ind w:left="850" w:hanging="850"/>
      <w:jc w:val="both"/>
      <w:outlineLvl w:val="2"/>
    </w:pPr>
    <w:rPr>
      <w:rFonts w:ascii="Times New Roman" w:hAnsi="Times New Roman"/>
      <w:i/>
      <w:sz w:val="24"/>
    </w:rPr>
  </w:style>
  <w:style w:type="paragraph" w:customStyle="1" w:styleId="ManualHeading4">
    <w:name w:val="Manual Heading 4"/>
    <w:basedOn w:val="Normal"/>
    <w:next w:val="Text1"/>
    <w:pPr>
      <w:keepNext/>
      <w:tabs>
        <w:tab w:val="left" w:pos="850"/>
      </w:tabs>
      <w:spacing w:before="120" w:after="120" w:line="240" w:lineRule="auto"/>
      <w:ind w:left="850" w:hanging="850"/>
      <w:jc w:val="both"/>
      <w:outlineLvl w:val="3"/>
    </w:pPr>
    <w:rPr>
      <w:rFonts w:ascii="Times New Roman" w:hAnsi="Times New Roman"/>
      <w:sz w:val="24"/>
    </w:rPr>
  </w:style>
  <w:style w:type="paragraph" w:customStyle="1" w:styleId="ChapterTitle">
    <w:name w:val="ChapterTitle"/>
    <w:basedOn w:val="Normal"/>
    <w:next w:val="Normal"/>
    <w:pPr>
      <w:keepNext/>
      <w:spacing w:before="120" w:after="360" w:line="240" w:lineRule="auto"/>
      <w:jc w:val="center"/>
    </w:pPr>
    <w:rPr>
      <w:rFonts w:ascii="Times New Roman" w:hAnsi="Times New Roman"/>
      <w:b/>
      <w:sz w:val="32"/>
    </w:rPr>
  </w:style>
  <w:style w:type="paragraph" w:customStyle="1" w:styleId="PartTitle">
    <w:name w:val="PartTitle"/>
    <w:basedOn w:val="Normal"/>
    <w:next w:val="ChapterTitle"/>
    <w:pPr>
      <w:keepNext/>
      <w:pageBreakBefore/>
      <w:spacing w:before="120" w:after="360" w:line="240" w:lineRule="auto"/>
      <w:jc w:val="center"/>
    </w:pPr>
    <w:rPr>
      <w:rFonts w:ascii="Times New Roman" w:hAnsi="Times New Roman"/>
      <w:b/>
      <w:sz w:val="36"/>
    </w:rPr>
  </w:style>
  <w:style w:type="paragraph" w:customStyle="1" w:styleId="SectionTitle">
    <w:name w:val="SectionTitle"/>
    <w:basedOn w:val="Normal"/>
    <w:next w:val="Heading1"/>
    <w:pPr>
      <w:keepNext/>
      <w:spacing w:before="120" w:after="360" w:line="240" w:lineRule="auto"/>
      <w:jc w:val="center"/>
    </w:pPr>
    <w:rPr>
      <w:rFonts w:ascii="Times New Roman" w:hAnsi="Times New Roman"/>
      <w:b/>
      <w:smallCaps/>
      <w:sz w:val="28"/>
    </w:rPr>
  </w:style>
  <w:style w:type="paragraph" w:customStyle="1" w:styleId="TableTitle">
    <w:name w:val="Table Title"/>
    <w:basedOn w:val="Normal"/>
    <w:next w:val="Normal"/>
    <w:pPr>
      <w:spacing w:before="120" w:after="120" w:line="240" w:lineRule="auto"/>
      <w:jc w:val="center"/>
    </w:pPr>
    <w:rPr>
      <w:rFonts w:ascii="Times New Roman" w:hAnsi="Times New Roman"/>
      <w:b/>
      <w:sz w:val="24"/>
    </w:rPr>
  </w:style>
  <w:style w:type="character" w:customStyle="1" w:styleId="Marker1">
    <w:name w:val="Marker1"/>
    <w:rPr>
      <w:color w:val="008000"/>
      <w:shd w:val="clear" w:color="auto" w:fill="auto"/>
    </w:rPr>
  </w:style>
  <w:style w:type="character" w:customStyle="1" w:styleId="Marker2">
    <w:name w:val="Marker2"/>
    <w:rPr>
      <w:color w:val="FF0000"/>
      <w:shd w:val="clear" w:color="auto" w:fill="auto"/>
    </w:rPr>
  </w:style>
  <w:style w:type="paragraph" w:customStyle="1" w:styleId="Point0number">
    <w:name w:val="Point 0 (number)"/>
    <w:basedOn w:val="Normal"/>
    <w:pPr>
      <w:numPr>
        <w:numId w:val="9"/>
      </w:numPr>
      <w:spacing w:before="120" w:after="120" w:line="240" w:lineRule="auto"/>
      <w:jc w:val="both"/>
    </w:pPr>
    <w:rPr>
      <w:rFonts w:ascii="Times New Roman" w:hAnsi="Times New Roman"/>
      <w:sz w:val="24"/>
    </w:rPr>
  </w:style>
  <w:style w:type="paragraph" w:customStyle="1" w:styleId="Point1number">
    <w:name w:val="Point 1 (number)"/>
    <w:basedOn w:val="Normal"/>
    <w:pPr>
      <w:numPr>
        <w:ilvl w:val="2"/>
        <w:numId w:val="9"/>
      </w:numPr>
      <w:spacing w:before="120" w:after="120" w:line="240" w:lineRule="auto"/>
      <w:jc w:val="both"/>
    </w:pPr>
    <w:rPr>
      <w:rFonts w:ascii="Times New Roman" w:hAnsi="Times New Roman"/>
      <w:sz w:val="24"/>
    </w:rPr>
  </w:style>
  <w:style w:type="paragraph" w:customStyle="1" w:styleId="Point2number">
    <w:name w:val="Point 2 (number)"/>
    <w:basedOn w:val="Normal"/>
    <w:pPr>
      <w:numPr>
        <w:ilvl w:val="4"/>
        <w:numId w:val="9"/>
      </w:numPr>
      <w:spacing w:before="120" w:after="120" w:line="240" w:lineRule="auto"/>
      <w:jc w:val="both"/>
    </w:pPr>
    <w:rPr>
      <w:rFonts w:ascii="Times New Roman" w:hAnsi="Times New Roman"/>
      <w:sz w:val="24"/>
    </w:rPr>
  </w:style>
  <w:style w:type="paragraph" w:customStyle="1" w:styleId="Point3number">
    <w:name w:val="Point 3 (number)"/>
    <w:basedOn w:val="Normal"/>
    <w:pPr>
      <w:numPr>
        <w:ilvl w:val="6"/>
        <w:numId w:val="9"/>
      </w:numPr>
      <w:spacing w:before="120" w:after="120" w:line="240" w:lineRule="auto"/>
      <w:jc w:val="both"/>
    </w:pPr>
    <w:rPr>
      <w:rFonts w:ascii="Times New Roman" w:hAnsi="Times New Roman"/>
      <w:sz w:val="24"/>
    </w:rPr>
  </w:style>
  <w:style w:type="paragraph" w:customStyle="1" w:styleId="Point0letter">
    <w:name w:val="Point 0 (letter)"/>
    <w:basedOn w:val="Normal"/>
    <w:pPr>
      <w:numPr>
        <w:ilvl w:val="1"/>
        <w:numId w:val="9"/>
      </w:numPr>
      <w:spacing w:before="120" w:after="120" w:line="240" w:lineRule="auto"/>
      <w:jc w:val="both"/>
    </w:pPr>
    <w:rPr>
      <w:rFonts w:ascii="Times New Roman" w:hAnsi="Times New Roman"/>
      <w:sz w:val="24"/>
    </w:rPr>
  </w:style>
  <w:style w:type="paragraph" w:customStyle="1" w:styleId="Point1letter">
    <w:name w:val="Point 1 (letter)"/>
    <w:basedOn w:val="Normal"/>
    <w:pPr>
      <w:spacing w:before="120" w:after="120" w:line="240" w:lineRule="auto"/>
      <w:jc w:val="both"/>
    </w:pPr>
    <w:rPr>
      <w:rFonts w:ascii="Times New Roman" w:hAnsi="Times New Roman"/>
      <w:sz w:val="24"/>
    </w:rPr>
  </w:style>
  <w:style w:type="paragraph" w:customStyle="1" w:styleId="Point2letter">
    <w:name w:val="Point 2 (letter)"/>
    <w:basedOn w:val="Normal"/>
    <w:pPr>
      <w:numPr>
        <w:ilvl w:val="5"/>
        <w:numId w:val="9"/>
      </w:numPr>
      <w:spacing w:before="120" w:after="120" w:line="240" w:lineRule="auto"/>
      <w:jc w:val="both"/>
    </w:pPr>
    <w:rPr>
      <w:rFonts w:ascii="Times New Roman" w:hAnsi="Times New Roman"/>
      <w:sz w:val="24"/>
    </w:rPr>
  </w:style>
  <w:style w:type="paragraph" w:customStyle="1" w:styleId="Point3letter">
    <w:name w:val="Point 3 (letter)"/>
    <w:basedOn w:val="Normal"/>
    <w:pPr>
      <w:numPr>
        <w:ilvl w:val="7"/>
        <w:numId w:val="9"/>
      </w:numPr>
      <w:spacing w:before="120" w:after="120" w:line="240" w:lineRule="auto"/>
      <w:jc w:val="both"/>
    </w:pPr>
    <w:rPr>
      <w:rFonts w:ascii="Times New Roman" w:hAnsi="Times New Roman"/>
      <w:sz w:val="24"/>
    </w:rPr>
  </w:style>
  <w:style w:type="paragraph" w:customStyle="1" w:styleId="Point4letter">
    <w:name w:val="Point 4 (letter)"/>
    <w:basedOn w:val="Normal"/>
    <w:pPr>
      <w:numPr>
        <w:ilvl w:val="8"/>
        <w:numId w:val="9"/>
      </w:numPr>
      <w:spacing w:before="120" w:after="120" w:line="240" w:lineRule="auto"/>
      <w:jc w:val="both"/>
    </w:pPr>
    <w:rPr>
      <w:rFonts w:ascii="Times New Roman" w:hAnsi="Times New Roman"/>
      <w:sz w:val="24"/>
    </w:rPr>
  </w:style>
  <w:style w:type="paragraph" w:customStyle="1" w:styleId="Bullet0">
    <w:name w:val="Bullet 0"/>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Bullet1">
    <w:name w:val="Bullet 1"/>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Bullet2">
    <w:name w:val="Bullet 2"/>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Bullet3">
    <w:name w:val="Bullet 3"/>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Bullet4">
    <w:name w:val="Bullet 4"/>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Langue">
    <w:name w:val="Langue"/>
    <w:basedOn w:val="Normal"/>
    <w:next w:val="Rfrenceinterne"/>
    <w:pPr>
      <w:framePr w:wrap="around" w:vAnchor="page" w:hAnchor="text" w:xAlign="center" w:y="14741"/>
      <w:spacing w:after="600" w:line="240" w:lineRule="auto"/>
      <w:jc w:val="center"/>
    </w:pPr>
    <w:rPr>
      <w:rFonts w:ascii="Times New Roman" w:hAnsi="Times New Roman"/>
      <w:b/>
      <w:caps/>
      <w:sz w:val="24"/>
    </w:rPr>
  </w:style>
  <w:style w:type="paragraph" w:customStyle="1" w:styleId="Nomdelinstitution">
    <w:name w:val="Nom de l'institution"/>
    <w:basedOn w:val="Normal"/>
    <w:next w:val="Emission"/>
    <w:pPr>
      <w:spacing w:after="0" w:line="240" w:lineRule="auto"/>
    </w:pPr>
    <w:rPr>
      <w:rFonts w:ascii="Arial" w:hAnsi="Arial" w:cs="Arial"/>
      <w:sz w:val="24"/>
    </w:rPr>
  </w:style>
  <w:style w:type="paragraph" w:customStyle="1" w:styleId="Emission">
    <w:name w:val="Emission"/>
    <w:basedOn w:val="Normal"/>
    <w:next w:val="Rfrenceinstitutionnelle"/>
    <w:pPr>
      <w:spacing w:after="0" w:line="240" w:lineRule="auto"/>
      <w:ind w:left="5103"/>
    </w:pPr>
    <w:rPr>
      <w:rFonts w:ascii="Times New Roman" w:hAnsi="Times New Roman"/>
      <w:sz w:val="24"/>
    </w:rPr>
  </w:style>
  <w:style w:type="paragraph" w:customStyle="1" w:styleId="Rfrenceinstitutionnelle">
    <w:name w:val="Référence institutionnelle"/>
    <w:basedOn w:val="Normal"/>
    <w:next w:val="Confidentialit"/>
    <w:pPr>
      <w:spacing w:after="240" w:line="240" w:lineRule="auto"/>
      <w:ind w:left="5103"/>
    </w:pPr>
    <w:rPr>
      <w:rFonts w:ascii="Times New Roman" w:hAnsi="Times New Roman"/>
      <w:sz w:val="24"/>
    </w:rPr>
  </w:style>
  <w:style w:type="paragraph" w:customStyle="1" w:styleId="Declassification">
    <w:name w:val="Declassification"/>
    <w:basedOn w:val="Normal"/>
    <w:next w:val="Normal"/>
    <w:pPr>
      <w:spacing w:after="0" w:line="240" w:lineRule="auto"/>
      <w:jc w:val="both"/>
    </w:pPr>
    <w:rPr>
      <w:rFonts w:ascii="Times New Roman" w:hAnsi="Times New Roman"/>
      <w:sz w:val="24"/>
    </w:rPr>
  </w:style>
  <w:style w:type="paragraph" w:customStyle="1" w:styleId="Disclaimer">
    <w:name w:val="Disclaimer"/>
    <w:basedOn w:val="Normal"/>
    <w:pPr>
      <w:framePr w:w="8220" w:wrap="notBeside" w:hAnchor="margin" w:xAlign="center" w:y="10401"/>
      <w:pBdr>
        <w:top w:val="single" w:sz="6" w:space="4" w:color="auto"/>
        <w:left w:val="single" w:sz="6" w:space="7" w:color="auto"/>
        <w:bottom w:val="single" w:sz="6" w:space="4" w:color="auto"/>
        <w:right w:val="single" w:sz="6" w:space="7" w:color="auto"/>
      </w:pBdr>
      <w:shd w:val="clear" w:color="FFFFFF" w:fill="auto"/>
      <w:spacing w:before="120" w:after="120" w:line="240" w:lineRule="auto"/>
      <w:jc w:val="both"/>
    </w:pPr>
    <w:rPr>
      <w:rFonts w:ascii="Times New Roman" w:hAnsi="Times New Roman"/>
      <w:sz w:val="24"/>
    </w:rPr>
  </w:style>
  <w:style w:type="paragraph" w:customStyle="1" w:styleId="SecurityMarking">
    <w:name w:val="SecurityMarking"/>
    <w:basedOn w:val="Normal"/>
    <w:pPr>
      <w:spacing w:after="0"/>
      <w:ind w:left="5103"/>
    </w:pPr>
    <w:rPr>
      <w:rFonts w:ascii="Times New Roman" w:hAnsi="Times New Roman"/>
      <w:sz w:val="28"/>
    </w:rPr>
  </w:style>
  <w:style w:type="paragraph" w:customStyle="1" w:styleId="DateMarking">
    <w:name w:val="DateMarking"/>
    <w:basedOn w:val="Normal"/>
    <w:pPr>
      <w:spacing w:after="0"/>
      <w:ind w:left="5103"/>
    </w:pPr>
    <w:rPr>
      <w:rFonts w:ascii="Times New Roman" w:hAnsi="Times New Roman"/>
      <w:i/>
      <w:sz w:val="28"/>
    </w:rPr>
  </w:style>
  <w:style w:type="paragraph" w:customStyle="1" w:styleId="ReleasableTo">
    <w:name w:val="ReleasableTo"/>
    <w:basedOn w:val="Normal"/>
    <w:pPr>
      <w:spacing w:after="0"/>
      <w:ind w:left="5103"/>
    </w:pPr>
    <w:rPr>
      <w:rFonts w:ascii="Times New Roman" w:hAnsi="Times New Roman"/>
      <w:i/>
      <w:sz w:val="28"/>
    </w:rPr>
  </w:style>
  <w:style w:type="paragraph" w:customStyle="1" w:styleId="Annexetitreexpos">
    <w:name w:val="Annexe titre (exposé)"/>
    <w:basedOn w:val="Normal"/>
    <w:next w:val="Normal"/>
    <w:pPr>
      <w:spacing w:before="120" w:after="120" w:line="240" w:lineRule="auto"/>
      <w:jc w:val="center"/>
    </w:pPr>
    <w:rPr>
      <w:rFonts w:ascii="Times New Roman" w:hAnsi="Times New Roman"/>
      <w:b/>
      <w:sz w:val="24"/>
      <w:u w:val="single"/>
    </w:rPr>
  </w:style>
  <w:style w:type="paragraph" w:customStyle="1" w:styleId="Annexetitre">
    <w:name w:val="Annexe titre"/>
    <w:basedOn w:val="Normal"/>
    <w:next w:val="Normal"/>
    <w:pPr>
      <w:spacing w:before="120" w:after="120" w:line="240" w:lineRule="auto"/>
      <w:jc w:val="center"/>
    </w:pPr>
    <w:rPr>
      <w:rFonts w:ascii="Times New Roman" w:hAnsi="Times New Roman"/>
      <w:b/>
      <w:sz w:val="24"/>
      <w:u w:val="single"/>
    </w:rPr>
  </w:style>
  <w:style w:type="paragraph" w:customStyle="1" w:styleId="Annexetitrefichefinancire">
    <w:name w:val="Annexe titre (fiche financière)"/>
    <w:basedOn w:val="Normal"/>
    <w:next w:val="Normal"/>
    <w:pPr>
      <w:spacing w:before="120" w:after="120" w:line="240" w:lineRule="auto"/>
      <w:jc w:val="center"/>
    </w:pPr>
    <w:rPr>
      <w:rFonts w:ascii="Times New Roman" w:hAnsi="Times New Roman"/>
      <w:b/>
      <w:sz w:val="24"/>
      <w:u w:val="single"/>
    </w:rPr>
  </w:style>
  <w:style w:type="paragraph" w:customStyle="1" w:styleId="Applicationdirecte">
    <w:name w:val="Application directe"/>
    <w:basedOn w:val="Normal"/>
    <w:next w:val="Fait"/>
    <w:pPr>
      <w:spacing w:before="480" w:after="120" w:line="240" w:lineRule="auto"/>
      <w:jc w:val="both"/>
    </w:pPr>
    <w:rPr>
      <w:rFonts w:ascii="Times New Roman" w:hAnsi="Times New Roman"/>
      <w:sz w:val="24"/>
    </w:rPr>
  </w:style>
  <w:style w:type="paragraph" w:customStyle="1" w:styleId="Avertissementtitre">
    <w:name w:val="Avertissement titre"/>
    <w:basedOn w:val="Normal"/>
    <w:next w:val="Normal"/>
    <w:pPr>
      <w:keepNext/>
      <w:spacing w:before="480" w:after="120" w:line="240" w:lineRule="auto"/>
      <w:jc w:val="both"/>
    </w:pPr>
    <w:rPr>
      <w:rFonts w:ascii="Times New Roman" w:hAnsi="Times New Roman"/>
      <w:sz w:val="24"/>
      <w:u w:val="single"/>
    </w:rPr>
  </w:style>
  <w:style w:type="paragraph" w:customStyle="1" w:styleId="Confidence">
    <w:name w:val="Confidence"/>
    <w:basedOn w:val="Normal"/>
    <w:next w:val="Normal"/>
    <w:pPr>
      <w:spacing w:before="360" w:after="120" w:line="240" w:lineRule="auto"/>
      <w:jc w:val="center"/>
    </w:pPr>
    <w:rPr>
      <w:rFonts w:ascii="Times New Roman" w:hAnsi="Times New Roman"/>
      <w:sz w:val="24"/>
    </w:rPr>
  </w:style>
  <w:style w:type="paragraph" w:customStyle="1" w:styleId="Confidentialit">
    <w:name w:val="Confidentialité"/>
    <w:basedOn w:val="Normal"/>
    <w:next w:val="TypedudocumentPagedecouverture"/>
    <w:pPr>
      <w:spacing w:before="240" w:after="240" w:line="240" w:lineRule="auto"/>
      <w:ind w:left="5103"/>
    </w:pPr>
    <w:rPr>
      <w:rFonts w:ascii="Times New Roman" w:hAnsi="Times New Roman"/>
      <w:i/>
      <w:sz w:val="32"/>
    </w:rPr>
  </w:style>
  <w:style w:type="paragraph" w:customStyle="1" w:styleId="Considrant">
    <w:name w:val="Considérant"/>
    <w:basedOn w:val="Normal"/>
    <w:pPr>
      <w:tabs>
        <w:tab w:val="num" w:pos="720"/>
      </w:tabs>
      <w:spacing w:before="120" w:after="120" w:line="240" w:lineRule="auto"/>
      <w:ind w:left="720" w:hanging="720"/>
      <w:jc w:val="both"/>
    </w:pPr>
    <w:rPr>
      <w:rFonts w:ascii="Times New Roman" w:hAnsi="Times New Roman"/>
      <w:sz w:val="24"/>
    </w:rPr>
  </w:style>
  <w:style w:type="paragraph" w:customStyle="1" w:styleId="Corrigendum">
    <w:name w:val="Corrigendum"/>
    <w:basedOn w:val="Normal"/>
    <w:next w:val="Normal"/>
    <w:pPr>
      <w:spacing w:after="240" w:line="240" w:lineRule="auto"/>
    </w:pPr>
    <w:rPr>
      <w:rFonts w:ascii="Times New Roman" w:hAnsi="Times New Roman"/>
      <w:sz w:val="24"/>
    </w:rPr>
  </w:style>
  <w:style w:type="paragraph" w:customStyle="1" w:styleId="Datedadoption">
    <w:name w:val="Date d'adoption"/>
    <w:basedOn w:val="Normal"/>
    <w:next w:val="IntrtEEE"/>
    <w:pPr>
      <w:spacing w:before="360" w:after="0" w:line="240" w:lineRule="auto"/>
      <w:jc w:val="center"/>
    </w:pPr>
    <w:rPr>
      <w:rFonts w:ascii="Times New Roman" w:hAnsi="Times New Roman"/>
      <w:b/>
      <w:sz w:val="24"/>
    </w:rPr>
  </w:style>
  <w:style w:type="paragraph" w:customStyle="1" w:styleId="Exposdesmotifstitre">
    <w:name w:val="Exposé des motifs titre"/>
    <w:basedOn w:val="Normal"/>
    <w:next w:val="Normal"/>
    <w:pPr>
      <w:spacing w:before="120" w:after="120" w:line="240" w:lineRule="auto"/>
      <w:jc w:val="center"/>
    </w:pPr>
    <w:rPr>
      <w:rFonts w:ascii="Times New Roman" w:hAnsi="Times New Roman"/>
      <w:b/>
      <w:sz w:val="24"/>
      <w:u w:val="single"/>
    </w:rPr>
  </w:style>
  <w:style w:type="paragraph" w:customStyle="1" w:styleId="Fait">
    <w:name w:val="Fait à"/>
    <w:basedOn w:val="Normal"/>
    <w:next w:val="Institutionquisigne"/>
    <w:pPr>
      <w:keepNext/>
      <w:spacing w:before="120" w:after="0" w:line="240" w:lineRule="auto"/>
      <w:jc w:val="both"/>
    </w:pPr>
    <w:rPr>
      <w:rFonts w:ascii="Times New Roman" w:hAnsi="Times New Roman"/>
      <w:sz w:val="24"/>
    </w:rPr>
  </w:style>
  <w:style w:type="paragraph" w:customStyle="1" w:styleId="Formuledadoption">
    <w:name w:val="Formule d'adoption"/>
    <w:basedOn w:val="Normal"/>
    <w:next w:val="Titrearticle"/>
    <w:pPr>
      <w:keepNext/>
      <w:spacing w:before="120" w:after="120" w:line="240" w:lineRule="auto"/>
      <w:jc w:val="both"/>
    </w:pPr>
    <w:rPr>
      <w:rFonts w:ascii="Times New Roman" w:hAnsi="Times New Roman"/>
      <w:sz w:val="24"/>
    </w:rPr>
  </w:style>
  <w:style w:type="paragraph" w:customStyle="1" w:styleId="Institutionquiagit">
    <w:name w:val="Institution qui agit"/>
    <w:basedOn w:val="Normal"/>
    <w:next w:val="Normal"/>
    <w:pPr>
      <w:keepNext/>
      <w:spacing w:before="600" w:after="120" w:line="240" w:lineRule="auto"/>
      <w:jc w:val="both"/>
    </w:pPr>
    <w:rPr>
      <w:rFonts w:ascii="Times New Roman" w:hAnsi="Times New Roman"/>
      <w:sz w:val="24"/>
    </w:rPr>
  </w:style>
  <w:style w:type="paragraph" w:customStyle="1" w:styleId="Institutionquisigne">
    <w:name w:val="Institution qui signe"/>
    <w:basedOn w:val="Normal"/>
    <w:next w:val="Personnequisigne"/>
    <w:pPr>
      <w:keepNext/>
      <w:tabs>
        <w:tab w:val="left" w:pos="4252"/>
      </w:tabs>
      <w:spacing w:before="720" w:after="0" w:line="240" w:lineRule="auto"/>
      <w:jc w:val="both"/>
    </w:pPr>
    <w:rPr>
      <w:rFonts w:ascii="Times New Roman" w:hAnsi="Times New Roman"/>
      <w:i/>
      <w:sz w:val="24"/>
    </w:rPr>
  </w:style>
  <w:style w:type="paragraph" w:customStyle="1" w:styleId="ManualConsidrant">
    <w:name w:val="Manual Considérant"/>
    <w:basedOn w:val="Normal"/>
    <w:pPr>
      <w:spacing w:before="120" w:after="120" w:line="240" w:lineRule="auto"/>
      <w:ind w:left="709" w:hanging="709"/>
      <w:jc w:val="both"/>
    </w:pPr>
    <w:rPr>
      <w:rFonts w:ascii="Times New Roman" w:hAnsi="Times New Roman"/>
      <w:sz w:val="24"/>
    </w:rPr>
  </w:style>
  <w:style w:type="paragraph" w:customStyle="1" w:styleId="Personnequisigne">
    <w:name w:val="Personne qui signe"/>
    <w:basedOn w:val="Normal"/>
    <w:next w:val="Institutionquisigne"/>
    <w:pPr>
      <w:tabs>
        <w:tab w:val="left" w:pos="4252"/>
      </w:tabs>
      <w:spacing w:after="0" w:line="240" w:lineRule="auto"/>
    </w:pPr>
    <w:rPr>
      <w:rFonts w:ascii="Times New Roman" w:hAnsi="Times New Roman"/>
      <w:i/>
      <w:sz w:val="24"/>
    </w:rPr>
  </w:style>
  <w:style w:type="paragraph" w:customStyle="1" w:styleId="Rfrenceinterinstitutionnelle">
    <w:name w:val="Référence interinstitutionnelle"/>
    <w:basedOn w:val="Normal"/>
    <w:next w:val="Statut"/>
    <w:pPr>
      <w:spacing w:after="0" w:line="240" w:lineRule="auto"/>
      <w:ind w:left="5103"/>
    </w:pPr>
    <w:rPr>
      <w:rFonts w:ascii="Times New Roman" w:hAnsi="Times New Roman"/>
      <w:sz w:val="24"/>
    </w:rPr>
  </w:style>
  <w:style w:type="paragraph" w:customStyle="1" w:styleId="Rfrenceinterne">
    <w:name w:val="Référence interne"/>
    <w:basedOn w:val="Normal"/>
    <w:next w:val="Rfrenceinterinstitutionnelle"/>
    <w:pPr>
      <w:spacing w:after="0" w:line="240" w:lineRule="auto"/>
      <w:ind w:left="5103"/>
    </w:pPr>
    <w:rPr>
      <w:rFonts w:ascii="Times New Roman" w:hAnsi="Times New Roman"/>
      <w:sz w:val="24"/>
    </w:rPr>
  </w:style>
  <w:style w:type="paragraph" w:customStyle="1" w:styleId="Statut">
    <w:name w:val="Statut"/>
    <w:basedOn w:val="Normal"/>
    <w:next w:val="Typedudocument"/>
    <w:pPr>
      <w:spacing w:after="240" w:line="240" w:lineRule="auto"/>
      <w:jc w:val="center"/>
    </w:pPr>
    <w:rPr>
      <w:rFonts w:ascii="Times New Roman" w:hAnsi="Times New Roman"/>
      <w:sz w:val="24"/>
    </w:rPr>
  </w:style>
  <w:style w:type="paragraph" w:customStyle="1" w:styleId="Titrearticle">
    <w:name w:val="Titre article"/>
    <w:basedOn w:val="Normal"/>
    <w:next w:val="Normal"/>
    <w:pPr>
      <w:keepNext/>
      <w:spacing w:before="360" w:after="120" w:line="240" w:lineRule="auto"/>
      <w:jc w:val="center"/>
    </w:pPr>
    <w:rPr>
      <w:rFonts w:ascii="Times New Roman" w:hAnsi="Times New Roman"/>
      <w:i/>
      <w:sz w:val="24"/>
    </w:rPr>
  </w:style>
  <w:style w:type="paragraph" w:customStyle="1" w:styleId="Typedudocument">
    <w:name w:val="Type du document"/>
    <w:basedOn w:val="Normal"/>
    <w:next w:val="Accompagnant"/>
    <w:pPr>
      <w:spacing w:before="360" w:after="180" w:line="240" w:lineRule="auto"/>
      <w:jc w:val="center"/>
    </w:pPr>
    <w:rPr>
      <w:rFonts w:ascii="Times New Roman" w:hAnsi="Times New Roman"/>
      <w:b/>
      <w:sz w:val="24"/>
    </w:rPr>
  </w:style>
  <w:style w:type="character" w:customStyle="1" w:styleId="Added">
    <w:name w:val="Added"/>
    <w:rPr>
      <w:b/>
      <w:u w:val="single"/>
      <w:shd w:val="clear" w:color="auto" w:fill="auto"/>
    </w:rPr>
  </w:style>
  <w:style w:type="character" w:customStyle="1" w:styleId="Deleted">
    <w:name w:val="Deleted"/>
    <w:rPr>
      <w:strike/>
      <w:dstrike w:val="0"/>
      <w:shd w:val="clear" w:color="auto" w:fill="auto"/>
    </w:rPr>
  </w:style>
  <w:style w:type="paragraph" w:customStyle="1" w:styleId="Address">
    <w:name w:val="Address"/>
    <w:basedOn w:val="Normal"/>
    <w:next w:val="Normal"/>
    <w:pPr>
      <w:keepLines/>
      <w:spacing w:before="120" w:after="120" w:line="360" w:lineRule="auto"/>
      <w:ind w:left="3402"/>
    </w:pPr>
    <w:rPr>
      <w:rFonts w:ascii="Times New Roman" w:hAnsi="Times New Roman"/>
      <w:sz w:val="24"/>
    </w:rPr>
  </w:style>
  <w:style w:type="paragraph" w:customStyle="1" w:styleId="Objetexterne">
    <w:name w:val="Objet externe"/>
    <w:basedOn w:val="Normal"/>
    <w:next w:val="Normal"/>
    <w:pPr>
      <w:spacing w:before="120" w:after="120" w:line="240" w:lineRule="auto"/>
      <w:jc w:val="both"/>
    </w:pPr>
    <w:rPr>
      <w:rFonts w:ascii="Times New Roman" w:hAnsi="Times New Roman"/>
      <w:i/>
      <w:caps/>
      <w:sz w:val="24"/>
    </w:rPr>
  </w:style>
  <w:style w:type="paragraph" w:customStyle="1" w:styleId="Supertitre">
    <w:name w:val="Supertitre"/>
    <w:basedOn w:val="Normal"/>
    <w:next w:val="Normal"/>
    <w:pPr>
      <w:spacing w:after="600" w:line="240" w:lineRule="auto"/>
      <w:jc w:val="center"/>
    </w:pPr>
    <w:rPr>
      <w:rFonts w:ascii="Times New Roman" w:hAnsi="Times New Roman"/>
      <w:b/>
      <w:sz w:val="24"/>
    </w:rPr>
  </w:style>
  <w:style w:type="paragraph" w:customStyle="1" w:styleId="Languesfaisantfoi">
    <w:name w:val="Langues faisant foi"/>
    <w:basedOn w:val="Normal"/>
    <w:next w:val="Normal"/>
    <w:pPr>
      <w:spacing w:before="360" w:after="0" w:line="240" w:lineRule="auto"/>
      <w:jc w:val="center"/>
    </w:pPr>
    <w:rPr>
      <w:rFonts w:ascii="Times New Roman" w:hAnsi="Times New Roman"/>
      <w:sz w:val="24"/>
    </w:rPr>
  </w:style>
  <w:style w:type="paragraph" w:customStyle="1" w:styleId="Rfrencecroise">
    <w:name w:val="Référence croisée"/>
    <w:basedOn w:val="Normal"/>
    <w:pPr>
      <w:spacing w:after="0" w:line="240" w:lineRule="auto"/>
      <w:jc w:val="center"/>
    </w:pPr>
    <w:rPr>
      <w:rFonts w:ascii="Times New Roman" w:hAnsi="Times New Roman"/>
      <w:sz w:val="24"/>
    </w:rPr>
  </w:style>
  <w:style w:type="paragraph" w:customStyle="1" w:styleId="Fichefinanciretitre">
    <w:name w:val="Fiche financière titre"/>
    <w:basedOn w:val="Normal"/>
    <w:next w:val="Normal"/>
    <w:pPr>
      <w:spacing w:before="120" w:after="120" w:line="240" w:lineRule="auto"/>
      <w:jc w:val="center"/>
    </w:pPr>
    <w:rPr>
      <w:rFonts w:ascii="Times New Roman" w:hAnsi="Times New Roman"/>
      <w:b/>
      <w:sz w:val="24"/>
      <w:u w:val="single"/>
    </w:rPr>
  </w:style>
  <w:style w:type="paragraph" w:customStyle="1" w:styleId="DatedadoptionPagedecouverture">
    <w:name w:val="Date d'adoption (Page de couverture)"/>
    <w:basedOn w:val="Datedadoption"/>
    <w:next w:val="IntrtEEEPagedecouverture"/>
  </w:style>
  <w:style w:type="paragraph" w:customStyle="1" w:styleId="RfrenceinterinstitutionnellePagedecouverture">
    <w:name w:val="Référence interinstitutionnelle (Page de couverture)"/>
    <w:basedOn w:val="Rfrenceinterinstitutionnelle"/>
    <w:next w:val="Confidentialit"/>
  </w:style>
  <w:style w:type="paragraph" w:customStyle="1" w:styleId="StatutPagedecouverture">
    <w:name w:val="Statut (Page de couverture)"/>
    <w:basedOn w:val="Statut"/>
    <w:next w:val="TypedudocumentPagedecouverture"/>
  </w:style>
  <w:style w:type="paragraph" w:customStyle="1" w:styleId="TypedudocumentPagedecouverture">
    <w:name w:val="Type du document (Page de couverture)"/>
    <w:basedOn w:val="Typedudocument"/>
    <w:next w:val="AccompagnantPagedecouverture"/>
  </w:style>
  <w:style w:type="paragraph" w:customStyle="1" w:styleId="Volume">
    <w:name w:val="Volume"/>
    <w:basedOn w:val="Normal"/>
    <w:next w:val="Confidentialit"/>
    <w:pPr>
      <w:spacing w:after="240" w:line="240" w:lineRule="auto"/>
      <w:ind w:left="5103"/>
    </w:pPr>
    <w:rPr>
      <w:rFonts w:ascii="Times New Roman" w:hAnsi="Times New Roman"/>
      <w:sz w:val="24"/>
    </w:rPr>
  </w:style>
  <w:style w:type="paragraph" w:customStyle="1" w:styleId="IntrtEEE">
    <w:name w:val="Intérêt EEE"/>
    <w:basedOn w:val="Languesfaisantfoi"/>
    <w:next w:val="Normal"/>
    <w:pPr>
      <w:spacing w:after="240"/>
    </w:pPr>
  </w:style>
  <w:style w:type="paragraph" w:customStyle="1" w:styleId="Accompagnant">
    <w:name w:val="Accompagnant"/>
    <w:basedOn w:val="Normal"/>
    <w:next w:val="Typeacteprincipal"/>
    <w:pPr>
      <w:spacing w:before="180" w:after="240" w:line="240" w:lineRule="auto"/>
      <w:jc w:val="center"/>
    </w:pPr>
    <w:rPr>
      <w:rFonts w:ascii="Times New Roman" w:hAnsi="Times New Roman"/>
      <w:b/>
      <w:sz w:val="24"/>
    </w:rPr>
  </w:style>
  <w:style w:type="paragraph" w:customStyle="1" w:styleId="Typeacteprincipal">
    <w:name w:val="Type acte principal"/>
    <w:basedOn w:val="Normal"/>
    <w:next w:val="Objetacteprincipal"/>
    <w:pPr>
      <w:spacing w:after="240" w:line="240" w:lineRule="auto"/>
      <w:jc w:val="center"/>
    </w:pPr>
    <w:rPr>
      <w:rFonts w:ascii="Times New Roman" w:hAnsi="Times New Roman"/>
      <w:b/>
      <w:sz w:val="24"/>
    </w:rPr>
  </w:style>
  <w:style w:type="paragraph" w:customStyle="1" w:styleId="Objetacteprincipal">
    <w:name w:val="Objet acte principal"/>
    <w:basedOn w:val="Normal"/>
    <w:next w:val="Titrearticle"/>
    <w:pPr>
      <w:spacing w:after="360" w:line="240" w:lineRule="auto"/>
      <w:jc w:val="center"/>
    </w:pPr>
    <w:rPr>
      <w:rFonts w:ascii="Times New Roman" w:hAnsi="Times New Roman"/>
      <w:b/>
      <w:sz w:val="24"/>
    </w:rPr>
  </w:style>
  <w:style w:type="paragraph" w:customStyle="1" w:styleId="IntrtEEEPagedecouverture">
    <w:name w:val="Intérêt EEE (Page de couverture)"/>
    <w:basedOn w:val="IntrtEEE"/>
    <w:next w:val="Rfrencecroise"/>
  </w:style>
  <w:style w:type="paragraph" w:customStyle="1" w:styleId="AccompagnantPagedecouverture">
    <w:name w:val="Accompagnant (Page de couverture)"/>
    <w:basedOn w:val="Accompagnant"/>
    <w:next w:val="TypeacteprincipalPagedecouverture"/>
  </w:style>
  <w:style w:type="paragraph" w:customStyle="1" w:styleId="TypeacteprincipalPagedecouverture">
    <w:name w:val="Type acte principal (Page de couverture)"/>
    <w:basedOn w:val="Typeacteprincipal"/>
    <w:next w:val="ObjetacteprincipalPagedecouverture"/>
  </w:style>
  <w:style w:type="paragraph" w:customStyle="1" w:styleId="ObjetacteprincipalPagedecouverture">
    <w:name w:val="Objet acte principal (Page de couverture)"/>
    <w:basedOn w:val="Objetacteprincipal"/>
    <w:next w:val="Rfrencecroise"/>
  </w:style>
  <w:style w:type="paragraph" w:customStyle="1" w:styleId="LanguesfaisantfoiPagedecouverture">
    <w:name w:val="Langues faisant foi (Page de couverture)"/>
    <w:basedOn w:val="Normal"/>
    <w:next w:val="Normal"/>
    <w:pPr>
      <w:spacing w:before="360" w:after="0" w:line="240" w:lineRule="auto"/>
      <w:jc w:val="center"/>
    </w:pPr>
    <w:rPr>
      <w:rFonts w:ascii="Times New Roman" w:hAnsi="Times New Roman"/>
      <w:sz w:val="24"/>
    </w:rPr>
  </w:style>
  <w:style w:type="paragraph" w:styleId="Revision">
    <w:name w:val="Revision"/>
    <w:hidden/>
    <w:uiPriority w:val="99"/>
    <w:semiHidden/>
    <w:rsid w:val="00E45982"/>
    <w:rPr>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5.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s6HUYjhUewp0sLTnhB6FmZ/Bfg==">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</go:docsCustomData>
</go:gDocsCustomXmlDataStorage>
</file>

<file path=customXml/itemProps1.xml><?xml version="1.0" encoding="utf-8"?>
<ds:datastoreItem xmlns:ds="http://schemas.openxmlformats.org/officeDocument/2006/customXml" ds:itemID="{F0A8D575-FEB1-42C3-8090-B88D3218DCA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21</Pages>
  <Words>6469</Words>
  <Characters>35582</Characters>
  <Application>Microsoft Office Word</Application>
  <DocSecurity>0</DocSecurity>
  <Lines>296</Lines>
  <Paragraphs>83</Paragraphs>
  <ScaleCrop>false</ScaleCrop>
  <Company/>
  <LinksUpToDate>false</LinksUpToDate>
  <CharactersWithSpaces>41968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Lewyllie Peter</dc:creator>
  <cp:lastModifiedBy>Wim Vandenberghe</cp:lastModifiedBy>
  <cp:revision>6</cp:revision>
  <dcterms:created xsi:type="dcterms:W3CDTF">2025-05-16T12:55:00Z</dcterms:created>
  <dcterms:modified xsi:type="dcterms:W3CDTF">2026-03-12T12:29:00Z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tatus">
    <vt:lpwstr>Green</vt:lpwstr>
  </property>
  <property fmtid="{D5CDD505-2E9C-101B-9397-08002B2CF9AE}" pid="3" name="Level of sensitivity">
    <vt:lpwstr>Standard treatment</vt:lpwstr>
  </property>
  <property fmtid="{D5CDD505-2E9C-101B-9397-08002B2CF9AE}" pid="4" name="Last edited using">
    <vt:lpwstr>LW 7.0, Build 20190717</vt:lpwstr>
  </property>
  <property fmtid="{D5CDD505-2E9C-101B-9397-08002B2CF9AE}" pid="5" name="MSIP_Label_3f04ddc5-7ea6-41f4-8d3b-a387b6441ec3_Enabled">
    <vt:lpwstr>true</vt:lpwstr>
  </property>
  <property fmtid="{D5CDD505-2E9C-101B-9397-08002B2CF9AE}" pid="6" name="MSIP_Label_3f04ddc5-7ea6-41f4-8d3b-a387b6441ec3_SetDate">
    <vt:lpwstr>2025-05-09T08:04:45Z</vt:lpwstr>
  </property>
  <property fmtid="{D5CDD505-2E9C-101B-9397-08002B2CF9AE}" pid="7" name="MSIP_Label_3f04ddc5-7ea6-41f4-8d3b-a387b6441ec3_Method">
    <vt:lpwstr>Standard</vt:lpwstr>
  </property>
  <property fmtid="{D5CDD505-2E9C-101B-9397-08002B2CF9AE}" pid="8" name="MSIP_Label_3f04ddc5-7ea6-41f4-8d3b-a387b6441ec3_Name">
    <vt:lpwstr>INTERNAL</vt:lpwstr>
  </property>
  <property fmtid="{D5CDD505-2E9C-101B-9397-08002B2CF9AE}" pid="9" name="MSIP_Label_3f04ddc5-7ea6-41f4-8d3b-a387b6441ec3_SiteId">
    <vt:lpwstr>4e24b194-0314-477c-a082-d0530200845a</vt:lpwstr>
  </property>
  <property fmtid="{D5CDD505-2E9C-101B-9397-08002B2CF9AE}" pid="10" name="MSIP_Label_3f04ddc5-7ea6-41f4-8d3b-a387b6441ec3_ActionId">
    <vt:lpwstr>39cf6a55-7a1f-4b9c-bf60-f2d19664435f</vt:lpwstr>
  </property>
  <property fmtid="{D5CDD505-2E9C-101B-9397-08002B2CF9AE}" pid="11" name="MSIP_Label_3f04ddc5-7ea6-41f4-8d3b-a387b6441ec3_ContentBits">
    <vt:lpwstr>0</vt:lpwstr>
  </property>
</Properties>
</file>